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B341" w14:textId="77777777" w:rsidR="00A97B28" w:rsidRDefault="00A97B28" w:rsidP="00A97B28"/>
    <w:p w14:paraId="33AEBADA" w14:textId="2367C1EE" w:rsidR="00A97B28" w:rsidRDefault="00A97B28" w:rsidP="00A97B28">
      <w:pPr>
        <w:jc w:val="both"/>
      </w:pPr>
      <w:r w:rsidRPr="0019786B">
        <w:rPr>
          <w:noProof/>
        </w:rPr>
        <w:drawing>
          <wp:inline distT="0" distB="0" distL="0" distR="0" wp14:anchorId="2A49DC00" wp14:editId="55E092AC">
            <wp:extent cx="594360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Fig.</w:t>
      </w:r>
      <w:r w:rsidRPr="00FD03B2">
        <w:t xml:space="preserve"> </w:t>
      </w:r>
      <w:r>
        <w:t>S2</w:t>
      </w:r>
      <w:r w:rsidRPr="00FD03B2">
        <w:t xml:space="preserve"> - Negative and background controls for immunostaining assays. (A), (B), (C) and (D): Merged of DAPI and FITC photographs of </w:t>
      </w:r>
      <w:proofErr w:type="spellStart"/>
      <w:r w:rsidRPr="00FD03B2">
        <w:t>hRPE</w:t>
      </w:r>
      <w:proofErr w:type="spellEnd"/>
      <w:r w:rsidRPr="00FD03B2">
        <w:t xml:space="preserve"> cells that had been recruited in immunostaining assay without primary rabbit anti-human, mouse anti-human and goat anti-human antibodies and without applying primary and secondary antibodies, respectively. Magnification: 200X</w:t>
      </w:r>
    </w:p>
    <w:p w14:paraId="514308F2" w14:textId="77777777" w:rsidR="00A97B28" w:rsidRDefault="00A97B28" w:rsidP="00A97B28">
      <w:pPr>
        <w:bidi/>
        <w:jc w:val="both"/>
      </w:pPr>
    </w:p>
    <w:p w14:paraId="7FAAEABE" w14:textId="77777777" w:rsidR="00485A0A" w:rsidRDefault="00485A0A"/>
    <w:sectPr w:rsidR="00485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28"/>
    <w:rsid w:val="00485A0A"/>
    <w:rsid w:val="00A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D49E"/>
  <w15:chartTrackingRefBased/>
  <w15:docId w15:val="{A486E0A0-5DD9-4616-B6EC-D0D26AD8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2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2022-12-13T04:01:00Z</dcterms:created>
  <dcterms:modified xsi:type="dcterms:W3CDTF">2022-12-13T04:01:00Z</dcterms:modified>
</cp:coreProperties>
</file>