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1CB78F" w14:textId="33325122" w:rsidR="00465417" w:rsidRDefault="00465417" w:rsidP="00465417">
      <w:pPr>
        <w:rPr>
          <w:rFonts w:ascii="Times New Roman" w:hAnsi="Times New Roman"/>
        </w:rPr>
      </w:pPr>
      <w:r w:rsidRPr="00814A75">
        <w:rPr>
          <w:rFonts w:ascii="Times New Roman" w:hAnsi="Times New Roman"/>
          <w:noProof/>
        </w:rPr>
        <w:drawing>
          <wp:inline distT="0" distB="0" distL="0" distR="0" wp14:anchorId="40B919B9" wp14:editId="0A2471E7">
            <wp:extent cx="5943600" cy="1737995"/>
            <wp:effectExtent l="0" t="0" r="0" b="0"/>
            <wp:docPr id="1" name="Picture 1" descr="C:\Users\wenji\Downloads\Image-2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6" descr="C:\Users\wenji\Downloads\Image-2.t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73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BAAB43" w14:textId="77777777" w:rsidR="00465417" w:rsidRPr="00CE3CD3" w:rsidRDefault="00465417" w:rsidP="00465417">
      <w:pPr>
        <w:rPr>
          <w:rFonts w:ascii="Times New Roman" w:hAnsi="Times New Roman"/>
          <w:color w:val="000000"/>
        </w:rPr>
      </w:pPr>
      <w:r w:rsidRPr="00D65483">
        <w:rPr>
          <w:rFonts w:ascii="Times New Roman" w:hAnsi="Times New Roman"/>
        </w:rPr>
        <w:t xml:space="preserve">Figure </w:t>
      </w:r>
      <w:r>
        <w:rPr>
          <w:rFonts w:ascii="Times New Roman" w:hAnsi="Times New Roman"/>
        </w:rPr>
        <w:t>S3</w:t>
      </w:r>
      <w:r w:rsidRPr="00D65483"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DEX exposure did not alters methyl-binding-domain related mRNA expression level. </w:t>
      </w:r>
      <w:r w:rsidRPr="00CE3CD3">
        <w:rPr>
          <w:rFonts w:ascii="Times New Roman" w:hAnsi="Times New Roman"/>
          <w:color w:val="000000"/>
        </w:rPr>
        <w:t xml:space="preserve">The transcription level of (A) MeCP2, (B) MBD1, (C) MBD3 was determined by </w:t>
      </w:r>
      <w:proofErr w:type="spellStart"/>
      <w:r w:rsidRPr="00CE3CD3">
        <w:rPr>
          <w:rFonts w:ascii="Times New Roman" w:hAnsi="Times New Roman"/>
          <w:color w:val="000000"/>
        </w:rPr>
        <w:t>qRT</w:t>
      </w:r>
      <w:proofErr w:type="spellEnd"/>
      <w:r w:rsidRPr="00CE3CD3">
        <w:rPr>
          <w:rFonts w:ascii="Times New Roman" w:hAnsi="Times New Roman"/>
          <w:color w:val="000000"/>
        </w:rPr>
        <w:t xml:space="preserve">-PCR after 48 </w:t>
      </w:r>
      <w:proofErr w:type="spellStart"/>
      <w:r w:rsidRPr="00CE3CD3">
        <w:rPr>
          <w:rFonts w:ascii="Times New Roman" w:hAnsi="Times New Roman"/>
          <w:color w:val="000000"/>
        </w:rPr>
        <w:t>hrs</w:t>
      </w:r>
      <w:proofErr w:type="spellEnd"/>
      <w:r w:rsidRPr="00CE3CD3">
        <w:rPr>
          <w:rFonts w:ascii="Times New Roman" w:hAnsi="Times New Roman"/>
          <w:color w:val="000000"/>
        </w:rPr>
        <w:t xml:space="preserve"> of DEX exposure. n=3 (mean ± </w:t>
      </w:r>
      <w:proofErr w:type="spellStart"/>
      <w:r w:rsidRPr="00CE3CD3">
        <w:rPr>
          <w:rFonts w:ascii="Times New Roman" w:hAnsi="Times New Roman"/>
          <w:color w:val="000000"/>
        </w:rPr>
        <w:t>s.d.</w:t>
      </w:r>
      <w:proofErr w:type="spellEnd"/>
      <w:r w:rsidRPr="00CE3CD3">
        <w:rPr>
          <w:rFonts w:ascii="Times New Roman" w:hAnsi="Times New Roman"/>
          <w:color w:val="000000"/>
        </w:rPr>
        <w:t>).</w:t>
      </w:r>
    </w:p>
    <w:p w14:paraId="48669B4A" w14:textId="77777777" w:rsidR="00BD708B" w:rsidRDefault="00BD708B"/>
    <w:sectPr w:rsidR="00BD70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|¨¬¡§¡§??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5417"/>
    <w:rsid w:val="00465417"/>
    <w:rsid w:val="00BD7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5C5827"/>
  <w15:chartTrackingRefBased/>
  <w15:docId w15:val="{D33FE80B-47FB-42DB-A25A-DEB5E0BC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417"/>
    <w:rPr>
      <w:rFonts w:ascii="Calibri" w:eastAsia="DengXian" w:hAnsi="Calibri" w:cs="Times New Roman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</Words>
  <Characters>194</Characters>
  <Application>Microsoft Office Word</Application>
  <DocSecurity>0</DocSecurity>
  <Lines>1</Lines>
  <Paragraphs>1</Paragraphs>
  <ScaleCrop>false</ScaleCrop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Agiimaa, Gan Erdene</dc:creator>
  <cp:keywords/>
  <dc:description/>
  <cp:lastModifiedBy>Agiimaa, Gan Erdene</cp:lastModifiedBy>
  <cp:revision>1</cp:revision>
  <dcterms:created xsi:type="dcterms:W3CDTF">2021-11-18T15:39:00Z</dcterms:created>
  <dcterms:modified xsi:type="dcterms:W3CDTF">2021-11-18T15:40:00Z</dcterms:modified>
</cp:coreProperties>
</file>