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6BF8B9B" w14:textId="77777777" w:rsidR="00826E1D" w:rsidRPr="00DC030A" w:rsidRDefault="00826E1D" w:rsidP="00826E1D">
      <w:pPr>
        <w:rPr>
          <w:b/>
        </w:rPr>
      </w:pPr>
      <w:r>
        <w:rPr>
          <w:b/>
        </w:rPr>
        <w:t>Appendix</w:t>
      </w:r>
      <w:r w:rsidRPr="00DC030A">
        <w:rPr>
          <w:b/>
        </w:rPr>
        <w:t xml:space="preserve"> 1: </w:t>
      </w:r>
      <w:r w:rsidRPr="00DC030A">
        <w:rPr>
          <w:b/>
          <w:i/>
        </w:rPr>
        <w:t>RP1</w:t>
      </w:r>
      <w:r w:rsidRPr="00DC030A">
        <w:rPr>
          <w:b/>
        </w:rPr>
        <w:t xml:space="preserve"> alleles found in patients with either dominant </w:t>
      </w:r>
      <w:r w:rsidRPr="00DC030A">
        <w:rPr>
          <w:b/>
          <w:i/>
        </w:rPr>
        <w:t>RP1</w:t>
      </w:r>
      <w:r w:rsidRPr="00DC030A">
        <w:rPr>
          <w:b/>
        </w:rPr>
        <w:t>-associated disease or with an uncertain mode of inheritance</w:t>
      </w:r>
    </w:p>
    <w:p w14:paraId="7D5B5F98" w14:textId="77777777" w:rsidR="00826E1D" w:rsidRPr="00DC030A" w:rsidRDefault="00826E1D" w:rsidP="00826E1D"/>
    <w:p w14:paraId="356F4374" w14:textId="77777777" w:rsidR="00826E1D" w:rsidRPr="00DC030A" w:rsidRDefault="00826E1D" w:rsidP="00826E1D"/>
    <w:tbl>
      <w:tblPr>
        <w:tblpPr w:leftFromText="180" w:rightFromText="180" w:vertAnchor="text" w:tblpY="1"/>
        <w:tblOverlap w:val="never"/>
        <w:tblW w:w="14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81"/>
        <w:gridCol w:w="1884"/>
        <w:gridCol w:w="1086"/>
        <w:gridCol w:w="1794"/>
        <w:gridCol w:w="1620"/>
        <w:gridCol w:w="1890"/>
        <w:gridCol w:w="4680"/>
      </w:tblGrid>
      <w:tr w:rsidR="00826E1D" w:rsidRPr="00221B65" w14:paraId="1FBF90FF" w14:textId="77777777" w:rsidTr="000B2CDB">
        <w:trPr>
          <w:trHeight w:val="620"/>
        </w:trPr>
        <w:tc>
          <w:tcPr>
            <w:tcW w:w="1081" w:type="dxa"/>
            <w:shd w:val="clear" w:color="auto" w:fill="auto"/>
            <w:vAlign w:val="center"/>
          </w:tcPr>
          <w:p w14:paraId="087B8F16" w14:textId="77777777" w:rsidR="00826E1D" w:rsidRPr="00221B65" w:rsidRDefault="00826E1D" w:rsidP="000B2CDB">
            <w:pPr>
              <w:jc w:val="center"/>
              <w:rPr>
                <w:b/>
                <w:sz w:val="20"/>
                <w:szCs w:val="20"/>
              </w:rPr>
            </w:pPr>
            <w:r w:rsidRPr="00221B65">
              <w:rPr>
                <w:b/>
                <w:sz w:val="20"/>
                <w:szCs w:val="20"/>
              </w:rPr>
              <w:t>Patient</w:t>
            </w:r>
          </w:p>
        </w:tc>
        <w:tc>
          <w:tcPr>
            <w:tcW w:w="1884" w:type="dxa"/>
            <w:shd w:val="clear" w:color="auto" w:fill="auto"/>
            <w:vAlign w:val="center"/>
          </w:tcPr>
          <w:p w14:paraId="072CFF96" w14:textId="77777777" w:rsidR="00826E1D" w:rsidRPr="00221B65" w:rsidRDefault="00826E1D" w:rsidP="000B2CDB">
            <w:pPr>
              <w:jc w:val="center"/>
              <w:rPr>
                <w:b/>
                <w:sz w:val="20"/>
                <w:szCs w:val="20"/>
              </w:rPr>
            </w:pPr>
            <w:r w:rsidRPr="00221B65">
              <w:rPr>
                <w:b/>
                <w:sz w:val="20"/>
                <w:szCs w:val="20"/>
              </w:rPr>
              <w:t>Allele</w:t>
            </w:r>
          </w:p>
        </w:tc>
        <w:tc>
          <w:tcPr>
            <w:tcW w:w="1086" w:type="dxa"/>
            <w:shd w:val="clear" w:color="auto" w:fill="auto"/>
            <w:vAlign w:val="center"/>
          </w:tcPr>
          <w:p w14:paraId="6455C0A2" w14:textId="77777777" w:rsidR="00826E1D" w:rsidRPr="00221B65" w:rsidRDefault="00826E1D" w:rsidP="000B2CDB">
            <w:pPr>
              <w:jc w:val="center"/>
              <w:rPr>
                <w:b/>
                <w:sz w:val="20"/>
                <w:szCs w:val="20"/>
              </w:rPr>
            </w:pPr>
            <w:r w:rsidRPr="00221B65">
              <w:rPr>
                <w:b/>
                <w:sz w:val="20"/>
                <w:szCs w:val="20"/>
              </w:rPr>
              <w:t xml:space="preserve">Affected </w:t>
            </w:r>
            <w:proofErr w:type="spellStart"/>
            <w:r w:rsidRPr="00221B65">
              <w:rPr>
                <w:b/>
                <w:sz w:val="20"/>
                <w:szCs w:val="20"/>
              </w:rPr>
              <w:t>exon</w:t>
            </w:r>
            <w:r w:rsidRPr="00221B65">
              <w:rPr>
                <w:b/>
                <w:sz w:val="20"/>
                <w:szCs w:val="20"/>
                <w:vertAlign w:val="superscript"/>
              </w:rPr>
              <w:t>a</w:t>
            </w:r>
            <w:proofErr w:type="spellEnd"/>
          </w:p>
        </w:tc>
        <w:tc>
          <w:tcPr>
            <w:tcW w:w="1794" w:type="dxa"/>
            <w:shd w:val="clear" w:color="auto" w:fill="auto"/>
            <w:vAlign w:val="center"/>
          </w:tcPr>
          <w:p w14:paraId="48CBE7F5" w14:textId="77777777" w:rsidR="00826E1D" w:rsidRPr="00221B65" w:rsidRDefault="00826E1D" w:rsidP="000B2CDB">
            <w:pPr>
              <w:jc w:val="center"/>
              <w:rPr>
                <w:b/>
                <w:sz w:val="20"/>
                <w:szCs w:val="20"/>
              </w:rPr>
            </w:pPr>
            <w:proofErr w:type="spellStart"/>
            <w:r w:rsidRPr="00221B65">
              <w:rPr>
                <w:b/>
                <w:sz w:val="20"/>
                <w:szCs w:val="20"/>
              </w:rPr>
              <w:t>gnomAD</w:t>
            </w:r>
            <w:proofErr w:type="spellEnd"/>
            <w:r w:rsidRPr="00221B65">
              <w:rPr>
                <w:b/>
                <w:sz w:val="20"/>
                <w:szCs w:val="20"/>
              </w:rPr>
              <w:t xml:space="preserve"> Frequency</w:t>
            </w:r>
          </w:p>
        </w:tc>
        <w:tc>
          <w:tcPr>
            <w:tcW w:w="1620" w:type="dxa"/>
            <w:shd w:val="clear" w:color="auto" w:fill="auto"/>
            <w:vAlign w:val="center"/>
          </w:tcPr>
          <w:p w14:paraId="518E8B6D" w14:textId="77777777" w:rsidR="00826E1D" w:rsidRPr="00221B65" w:rsidRDefault="00826E1D" w:rsidP="000B2CDB">
            <w:pPr>
              <w:jc w:val="center"/>
              <w:rPr>
                <w:b/>
                <w:sz w:val="20"/>
                <w:szCs w:val="20"/>
              </w:rPr>
            </w:pPr>
            <w:r w:rsidRPr="00221B65">
              <w:rPr>
                <w:b/>
                <w:sz w:val="20"/>
                <w:szCs w:val="20"/>
              </w:rPr>
              <w:t>SIFT &amp; PolyPhen-2</w:t>
            </w:r>
          </w:p>
        </w:tc>
        <w:tc>
          <w:tcPr>
            <w:tcW w:w="1890" w:type="dxa"/>
            <w:shd w:val="clear" w:color="auto" w:fill="auto"/>
            <w:vAlign w:val="center"/>
          </w:tcPr>
          <w:p w14:paraId="6487C43D" w14:textId="77777777" w:rsidR="00826E1D" w:rsidRPr="00221B65" w:rsidRDefault="00826E1D" w:rsidP="000B2CDB">
            <w:pPr>
              <w:jc w:val="center"/>
              <w:rPr>
                <w:b/>
                <w:sz w:val="20"/>
                <w:szCs w:val="20"/>
              </w:rPr>
            </w:pPr>
            <w:proofErr w:type="spellStart"/>
            <w:r w:rsidRPr="00221B65">
              <w:rPr>
                <w:b/>
                <w:sz w:val="20"/>
                <w:szCs w:val="20"/>
              </w:rPr>
              <w:t>MutationTaster</w:t>
            </w:r>
            <w:proofErr w:type="spellEnd"/>
          </w:p>
        </w:tc>
        <w:tc>
          <w:tcPr>
            <w:tcW w:w="4680" w:type="dxa"/>
            <w:shd w:val="clear" w:color="auto" w:fill="auto"/>
            <w:vAlign w:val="center"/>
          </w:tcPr>
          <w:p w14:paraId="47804ABA" w14:textId="77777777" w:rsidR="00826E1D" w:rsidRPr="00221B65" w:rsidRDefault="00826E1D" w:rsidP="000B2CDB">
            <w:pPr>
              <w:jc w:val="center"/>
              <w:rPr>
                <w:b/>
                <w:sz w:val="20"/>
                <w:szCs w:val="20"/>
              </w:rPr>
            </w:pPr>
            <w:r w:rsidRPr="00221B65">
              <w:rPr>
                <w:b/>
                <w:sz w:val="20"/>
                <w:szCs w:val="20"/>
              </w:rPr>
              <w:t>Additional variant comments</w:t>
            </w:r>
          </w:p>
        </w:tc>
      </w:tr>
      <w:tr w:rsidR="00826E1D" w:rsidRPr="00221B65" w14:paraId="5AF44C2A" w14:textId="77777777" w:rsidTr="000B2CDB">
        <w:trPr>
          <w:trHeight w:hRule="exact" w:val="1065"/>
        </w:trPr>
        <w:tc>
          <w:tcPr>
            <w:tcW w:w="1081" w:type="dxa"/>
            <w:shd w:val="clear" w:color="auto" w:fill="auto"/>
            <w:vAlign w:val="center"/>
          </w:tcPr>
          <w:p w14:paraId="132A4ECC" w14:textId="77777777" w:rsidR="00826E1D" w:rsidRPr="00221B65" w:rsidRDefault="00826E1D" w:rsidP="000B2CDB">
            <w:pPr>
              <w:jc w:val="center"/>
              <w:rPr>
                <w:sz w:val="20"/>
                <w:szCs w:val="20"/>
              </w:rPr>
            </w:pPr>
            <w:r w:rsidRPr="00221B65">
              <w:rPr>
                <w:sz w:val="20"/>
                <w:szCs w:val="20"/>
              </w:rPr>
              <w:t>MEE6</w:t>
            </w:r>
            <w:r w:rsidRPr="00221B65">
              <w:rPr>
                <w:sz w:val="20"/>
                <w:szCs w:val="20"/>
                <w:vertAlign w:val="superscript"/>
              </w:rPr>
              <w:t>b</w:t>
            </w:r>
          </w:p>
        </w:tc>
        <w:tc>
          <w:tcPr>
            <w:tcW w:w="1884" w:type="dxa"/>
            <w:shd w:val="clear" w:color="auto" w:fill="auto"/>
            <w:vAlign w:val="center"/>
          </w:tcPr>
          <w:p w14:paraId="591D9883" w14:textId="77777777" w:rsidR="00826E1D" w:rsidRPr="00221B65" w:rsidRDefault="00826E1D" w:rsidP="000B2CDB">
            <w:pPr>
              <w:rPr>
                <w:sz w:val="20"/>
                <w:szCs w:val="20"/>
              </w:rPr>
            </w:pPr>
            <w:r w:rsidRPr="00221B65">
              <w:rPr>
                <w:sz w:val="20"/>
                <w:szCs w:val="20"/>
              </w:rPr>
              <w:t>c.1625C&gt;G</w:t>
            </w:r>
          </w:p>
          <w:p w14:paraId="5F70C077" w14:textId="77777777" w:rsidR="00826E1D" w:rsidRPr="00221B65" w:rsidRDefault="00826E1D" w:rsidP="000B2CDB">
            <w:pPr>
              <w:rPr>
                <w:sz w:val="20"/>
                <w:szCs w:val="20"/>
              </w:rPr>
            </w:pPr>
            <w:proofErr w:type="gramStart"/>
            <w:r w:rsidRPr="00221B65">
              <w:rPr>
                <w:sz w:val="20"/>
                <w:szCs w:val="20"/>
              </w:rPr>
              <w:t>p.(</w:t>
            </w:r>
            <w:proofErr w:type="gramEnd"/>
            <w:r w:rsidRPr="00221B65">
              <w:rPr>
                <w:sz w:val="20"/>
                <w:szCs w:val="20"/>
              </w:rPr>
              <w:t>Ser542*)</w:t>
            </w:r>
          </w:p>
        </w:tc>
        <w:tc>
          <w:tcPr>
            <w:tcW w:w="1086" w:type="dxa"/>
            <w:shd w:val="clear" w:color="auto" w:fill="auto"/>
            <w:vAlign w:val="center"/>
          </w:tcPr>
          <w:p w14:paraId="03947E22" w14:textId="77777777" w:rsidR="00826E1D" w:rsidRPr="00221B65" w:rsidRDefault="00826E1D" w:rsidP="000B2CDB">
            <w:pPr>
              <w:jc w:val="center"/>
              <w:rPr>
                <w:sz w:val="20"/>
                <w:szCs w:val="20"/>
              </w:rPr>
            </w:pPr>
            <w:r w:rsidRPr="00221B65">
              <w:rPr>
                <w:sz w:val="20"/>
                <w:szCs w:val="20"/>
              </w:rPr>
              <w:t>4 (BIF)</w:t>
            </w:r>
          </w:p>
        </w:tc>
        <w:tc>
          <w:tcPr>
            <w:tcW w:w="1794" w:type="dxa"/>
            <w:shd w:val="clear" w:color="auto" w:fill="auto"/>
            <w:vAlign w:val="center"/>
          </w:tcPr>
          <w:p w14:paraId="72B79D37" w14:textId="77777777" w:rsidR="00826E1D" w:rsidRPr="00221B65" w:rsidRDefault="00826E1D" w:rsidP="000B2CDB">
            <w:pPr>
              <w:jc w:val="center"/>
              <w:rPr>
                <w:sz w:val="20"/>
                <w:szCs w:val="20"/>
              </w:rPr>
            </w:pPr>
            <w:r w:rsidRPr="00221B65">
              <w:rPr>
                <w:sz w:val="20"/>
                <w:szCs w:val="20"/>
              </w:rPr>
              <w:t>12/282190</w:t>
            </w:r>
          </w:p>
        </w:tc>
        <w:tc>
          <w:tcPr>
            <w:tcW w:w="1620" w:type="dxa"/>
            <w:shd w:val="clear" w:color="auto" w:fill="auto"/>
            <w:vAlign w:val="center"/>
          </w:tcPr>
          <w:p w14:paraId="09173009" w14:textId="77777777" w:rsidR="00826E1D" w:rsidRPr="00221B65" w:rsidRDefault="00826E1D" w:rsidP="000B2CDB">
            <w:pPr>
              <w:jc w:val="center"/>
              <w:rPr>
                <w:sz w:val="20"/>
                <w:szCs w:val="20"/>
              </w:rPr>
            </w:pPr>
            <w:r w:rsidRPr="00221B65">
              <w:rPr>
                <w:sz w:val="20"/>
                <w:szCs w:val="20"/>
              </w:rPr>
              <w:t>Deleterious</w:t>
            </w:r>
          </w:p>
          <w:p w14:paraId="599A6FDB" w14:textId="77777777" w:rsidR="00826E1D" w:rsidRPr="00221B65" w:rsidRDefault="00826E1D" w:rsidP="000B2CDB">
            <w:pPr>
              <w:jc w:val="center"/>
              <w:rPr>
                <w:sz w:val="20"/>
                <w:szCs w:val="20"/>
              </w:rPr>
            </w:pPr>
            <w:r w:rsidRPr="00221B65">
              <w:rPr>
                <w:sz w:val="20"/>
                <w:szCs w:val="20"/>
              </w:rPr>
              <w:t>n/a</w:t>
            </w:r>
          </w:p>
        </w:tc>
        <w:tc>
          <w:tcPr>
            <w:tcW w:w="1890" w:type="dxa"/>
            <w:shd w:val="clear" w:color="auto" w:fill="auto"/>
            <w:vAlign w:val="center"/>
          </w:tcPr>
          <w:p w14:paraId="14C2134E" w14:textId="77777777" w:rsidR="00826E1D" w:rsidRPr="00221B65" w:rsidRDefault="00826E1D" w:rsidP="000B2CDB">
            <w:pPr>
              <w:jc w:val="center"/>
              <w:rPr>
                <w:sz w:val="20"/>
                <w:szCs w:val="20"/>
              </w:rPr>
            </w:pPr>
            <w:r w:rsidRPr="00221B65">
              <w:rPr>
                <w:sz w:val="20"/>
                <w:szCs w:val="20"/>
              </w:rPr>
              <w:t>Disease causing</w:t>
            </w:r>
          </w:p>
        </w:tc>
        <w:tc>
          <w:tcPr>
            <w:tcW w:w="4680" w:type="dxa"/>
            <w:shd w:val="clear" w:color="auto" w:fill="auto"/>
            <w:vAlign w:val="center"/>
          </w:tcPr>
          <w:p w14:paraId="746B5CA4" w14:textId="77777777" w:rsidR="00826E1D" w:rsidRPr="00221B65" w:rsidRDefault="00826E1D" w:rsidP="000B2CDB">
            <w:pPr>
              <w:rPr>
                <w:sz w:val="20"/>
                <w:szCs w:val="20"/>
              </w:rPr>
            </w:pPr>
            <w:r w:rsidRPr="00221B65">
              <w:rPr>
                <w:sz w:val="20"/>
                <w:szCs w:val="20"/>
              </w:rPr>
              <w:t xml:space="preserve">Previously-described in association with </w:t>
            </w:r>
            <w:proofErr w:type="spellStart"/>
            <w:r w:rsidRPr="00221B65">
              <w:rPr>
                <w:sz w:val="20"/>
                <w:szCs w:val="20"/>
              </w:rPr>
              <w:t>arRP</w:t>
            </w:r>
            <w:proofErr w:type="spellEnd"/>
            <w:r w:rsidRPr="00221B65">
              <w:rPr>
                <w:sz w:val="20"/>
                <w:szCs w:val="20"/>
              </w:rPr>
              <w:fldChar w:fldCharType="begin" w:fldLock="1"/>
            </w:r>
            <w:r w:rsidRPr="00221B65">
              <w:rPr>
                <w:sz w:val="20"/>
                <w:szCs w:val="20"/>
              </w:rPr>
              <w:instrText>ADDIN CSL_CITATION {"citationItems":[{"id":"ITEM-1","itemData":{"DOI":"10.1016/j.ophtha.2012.06.033","ISBN":"1549-4713 (Electronic)\\r0161-6420 (Linking)","ISSN":"01616420","PMID":"22917891","abstract":"Objective: To identify the genetic causes underlying early-onset autosomal recessive retinitis pigmentosa (arRP) in the Spanish population and describe the associated phenotype. Design: Case series. Participants: A total of 244 unrelated families affected by early-onset arRP. Methods: Homozygosity mapping or exome sequencing analysis was performed in 3 families segregating arRP. A mutational screening was performed in 241 additional unrelated families for the p.Ser452Stop mutation. Haplotype analysis also was conducted. Individuals who were homozygotes, double heterozygotes, or carriers of mutations in RP1 underwent an ophthalmic evaluation to establish a genotype-phenotype correlation. Main Outcome Measures: DNA sequence variants, homozygous regions, haplotypes, best-corrected visual acuity, visual field assessments, electroretinogram responses, and optical coherence tomography images. Results: Four novel mutations in RP1 were identified. The new mutation p.Ser542Stop was present in 11 of 244 (4.5%) of the studied families. All chromosomes harboring this mutation shared the same haplotype. All patients presented a common phenotype with an early age of onset and a prompt macular degeneration, whereas the heterozygote carriers did not show any signs of retinitis pigmentosa (RP). Conclusions: p.Ser542Stop is a single founder mutation and the most prevalent described mutation in the Spanish population. It causes early-onset RP with a rapid macular degeneration and is responsible for 4.5% of all cases. Our data suggest that the implication of RP1 in arRP may be underestimated. Financial Disclosure(s): The author(s) have no proprietary or commercial interest in any materials discussed in this article. © 2012 American Academy of Ophthalmology.","author":[{"dropping-particle":"","family":"Avila-Fernandez","given":"Almudena","non-dropping-particle":"","parse-names":false,"suffix":""},{"dropping-particle":"","family":"Corton","given":"Marta","non-dropping-particle":"","parse-names":false,"suffix":""},{"dropping-particle":"","family":"Nishiguchi","given":"Koji M.","non-dropping-particle":"","parse-names":false,"suffix":""},{"dropping-particle":"","family":"Muñoz-Sanz","given":"Nelida","non-dropping-particle":"","parse-names":false,"suffix":""},{"dropping-particle":"","family":"Benavides-Mori","given":"Belen","non-dropping-particle":"","parse-names":false,"suffix":""},{"dropping-particle":"","family":"Blanco-Kelly","given":"Fiona","non-dropping-particle":"","parse-names":false,"suffix":""},{"dropping-particle":"","family":"Riveiro-Alvarez","given":"Rosa","non-dropping-particle":"","parse-names":false,"suffix":""},{"dropping-particle":"","family":"Garcia-Sandoval","given":"Blanca","non-dropping-particle":"","parse-names":false,"suffix":""},{"dropping-particle":"","family":"Rivolta","given":"Carlo","non-dropping-particle":"","parse-names":false,"suffix":""},{"dropping-particle":"","family":"Ayuso","given":"Carmen","non-dropping-particle":"","parse-names":false,"suffix":""}],"container-title":"Ophthalmology","id":"ITEM-1","issue":"12","issued":{"date-parts":[["2012"]]},"page":"2616-2621","publisher":"Elsevier Inc.","title":"Identification of an RP1 prevalent founder mutation and related phenotype in Spanish patients with early-onset autosomal recessive retinitis","type":"article-journal","volume":"119"},"uris":["http://www.mendeley.com/documents/?uuid=f7a47168-7b2d-4be7-bc1b-bcd3ec0d4290"]}],"mendeley":{"formattedCitation":"[1]","plainTextFormattedCitation":"[1]","previouslyFormattedCitation":"[1]"},"properties":{"noteIndex":0},"schema":"https://github.com/citation-style-language/schema/raw/master/csl-citation.json"}</w:instrText>
            </w:r>
            <w:r w:rsidRPr="00221B65">
              <w:rPr>
                <w:sz w:val="20"/>
                <w:szCs w:val="20"/>
              </w:rPr>
              <w:fldChar w:fldCharType="separate"/>
            </w:r>
            <w:r w:rsidRPr="00221B65">
              <w:rPr>
                <w:noProof/>
                <w:sz w:val="20"/>
                <w:szCs w:val="20"/>
              </w:rPr>
              <w:t>[1]</w:t>
            </w:r>
            <w:r w:rsidRPr="00221B65">
              <w:rPr>
                <w:sz w:val="20"/>
                <w:szCs w:val="20"/>
              </w:rPr>
              <w:fldChar w:fldCharType="end"/>
            </w:r>
            <w:r w:rsidRPr="00221B65">
              <w:rPr>
                <w:sz w:val="20"/>
                <w:szCs w:val="20"/>
              </w:rPr>
              <w:t xml:space="preserve">.  </w:t>
            </w:r>
          </w:p>
          <w:p w14:paraId="55CE0074" w14:textId="77777777" w:rsidR="00826E1D" w:rsidRPr="00221B65" w:rsidRDefault="00826E1D" w:rsidP="000B2CDB">
            <w:pPr>
              <w:rPr>
                <w:sz w:val="20"/>
                <w:szCs w:val="20"/>
              </w:rPr>
            </w:pPr>
            <w:r w:rsidRPr="00221B65">
              <w:rPr>
                <w:sz w:val="20"/>
                <w:szCs w:val="20"/>
              </w:rPr>
              <w:t>In trans with patient’s other variant by cloning and long-range PCR.</w:t>
            </w:r>
          </w:p>
        </w:tc>
      </w:tr>
      <w:tr w:rsidR="00826E1D" w:rsidRPr="00221B65" w14:paraId="3AF5BDC0" w14:textId="77777777" w:rsidTr="000B2CDB">
        <w:trPr>
          <w:trHeight w:hRule="exact" w:val="1881"/>
        </w:trPr>
        <w:tc>
          <w:tcPr>
            <w:tcW w:w="1081" w:type="dxa"/>
            <w:shd w:val="clear" w:color="auto" w:fill="auto"/>
            <w:vAlign w:val="center"/>
          </w:tcPr>
          <w:p w14:paraId="691AC1EB" w14:textId="77777777" w:rsidR="00826E1D" w:rsidRPr="00221B65" w:rsidRDefault="00826E1D" w:rsidP="000B2CDB">
            <w:pPr>
              <w:jc w:val="center"/>
              <w:rPr>
                <w:sz w:val="20"/>
                <w:szCs w:val="20"/>
              </w:rPr>
            </w:pPr>
            <w:r w:rsidRPr="00221B65">
              <w:rPr>
                <w:sz w:val="20"/>
                <w:szCs w:val="20"/>
              </w:rPr>
              <w:t>MEE6</w:t>
            </w:r>
          </w:p>
        </w:tc>
        <w:tc>
          <w:tcPr>
            <w:tcW w:w="1884" w:type="dxa"/>
            <w:shd w:val="clear" w:color="auto" w:fill="auto"/>
            <w:vAlign w:val="center"/>
          </w:tcPr>
          <w:p w14:paraId="428E4C55" w14:textId="77777777" w:rsidR="00826E1D" w:rsidRPr="00221B65" w:rsidRDefault="00826E1D" w:rsidP="000B2CDB">
            <w:pPr>
              <w:rPr>
                <w:sz w:val="20"/>
                <w:szCs w:val="20"/>
              </w:rPr>
            </w:pPr>
            <w:r w:rsidRPr="00221B65">
              <w:rPr>
                <w:sz w:val="20"/>
                <w:szCs w:val="20"/>
              </w:rPr>
              <w:t>c.2041dupA</w:t>
            </w:r>
          </w:p>
          <w:p w14:paraId="68132B4C" w14:textId="77777777" w:rsidR="00826E1D" w:rsidRPr="00221B65" w:rsidRDefault="00826E1D" w:rsidP="000B2CDB">
            <w:pPr>
              <w:rPr>
                <w:sz w:val="20"/>
                <w:szCs w:val="20"/>
              </w:rPr>
            </w:pPr>
            <w:proofErr w:type="gramStart"/>
            <w:r w:rsidRPr="00221B65">
              <w:rPr>
                <w:sz w:val="20"/>
                <w:szCs w:val="20"/>
              </w:rPr>
              <w:t>p.(</w:t>
            </w:r>
            <w:proofErr w:type="gramEnd"/>
            <w:r w:rsidRPr="00221B65">
              <w:rPr>
                <w:sz w:val="20"/>
                <w:szCs w:val="20"/>
              </w:rPr>
              <w:t>Ile681Asnfs*17)</w:t>
            </w:r>
          </w:p>
        </w:tc>
        <w:tc>
          <w:tcPr>
            <w:tcW w:w="1086" w:type="dxa"/>
            <w:shd w:val="clear" w:color="auto" w:fill="auto"/>
            <w:vAlign w:val="center"/>
          </w:tcPr>
          <w:p w14:paraId="4270FB52" w14:textId="77777777" w:rsidR="00826E1D" w:rsidRPr="00221B65" w:rsidRDefault="00826E1D" w:rsidP="000B2CDB">
            <w:pPr>
              <w:jc w:val="center"/>
              <w:rPr>
                <w:sz w:val="20"/>
                <w:szCs w:val="20"/>
              </w:rPr>
            </w:pPr>
            <w:r w:rsidRPr="00221B65">
              <w:rPr>
                <w:sz w:val="20"/>
                <w:szCs w:val="20"/>
              </w:rPr>
              <w:t>4</w:t>
            </w:r>
          </w:p>
        </w:tc>
        <w:tc>
          <w:tcPr>
            <w:tcW w:w="1794" w:type="dxa"/>
            <w:shd w:val="clear" w:color="auto" w:fill="auto"/>
            <w:vAlign w:val="center"/>
          </w:tcPr>
          <w:p w14:paraId="0366442C" w14:textId="77777777" w:rsidR="00826E1D" w:rsidRPr="00221B65" w:rsidRDefault="00826E1D" w:rsidP="000B2CDB">
            <w:pPr>
              <w:jc w:val="center"/>
              <w:rPr>
                <w:sz w:val="20"/>
                <w:szCs w:val="20"/>
              </w:rPr>
            </w:pPr>
            <w:r w:rsidRPr="00221B65">
              <w:rPr>
                <w:sz w:val="20"/>
                <w:szCs w:val="20"/>
              </w:rPr>
              <w:t>4/25076</w:t>
            </w:r>
          </w:p>
          <w:p w14:paraId="0551F520" w14:textId="77777777" w:rsidR="00826E1D" w:rsidRPr="00221B65" w:rsidRDefault="00826E1D" w:rsidP="000B2CDB">
            <w:pPr>
              <w:jc w:val="center"/>
              <w:rPr>
                <w:sz w:val="20"/>
                <w:szCs w:val="20"/>
              </w:rPr>
            </w:pPr>
            <w:r w:rsidRPr="00221B65">
              <w:rPr>
                <w:sz w:val="20"/>
                <w:szCs w:val="20"/>
              </w:rPr>
              <w:t>(no homozygotes)</w:t>
            </w:r>
          </w:p>
        </w:tc>
        <w:tc>
          <w:tcPr>
            <w:tcW w:w="1620" w:type="dxa"/>
            <w:shd w:val="clear" w:color="auto" w:fill="auto"/>
            <w:vAlign w:val="center"/>
          </w:tcPr>
          <w:p w14:paraId="34357563" w14:textId="77777777" w:rsidR="00826E1D" w:rsidRPr="00221B65" w:rsidRDefault="00826E1D" w:rsidP="000B2CDB">
            <w:pPr>
              <w:jc w:val="center"/>
              <w:rPr>
                <w:sz w:val="20"/>
                <w:szCs w:val="20"/>
              </w:rPr>
            </w:pPr>
            <w:r w:rsidRPr="00221B65">
              <w:rPr>
                <w:sz w:val="20"/>
                <w:szCs w:val="20"/>
              </w:rPr>
              <w:t>n/a</w:t>
            </w:r>
          </w:p>
        </w:tc>
        <w:tc>
          <w:tcPr>
            <w:tcW w:w="1890" w:type="dxa"/>
            <w:shd w:val="clear" w:color="auto" w:fill="auto"/>
            <w:vAlign w:val="center"/>
          </w:tcPr>
          <w:p w14:paraId="01E5299D" w14:textId="77777777" w:rsidR="00826E1D" w:rsidRPr="00221B65" w:rsidRDefault="00826E1D" w:rsidP="000B2CDB">
            <w:pPr>
              <w:jc w:val="center"/>
              <w:rPr>
                <w:sz w:val="20"/>
                <w:szCs w:val="20"/>
              </w:rPr>
            </w:pPr>
            <w:r w:rsidRPr="00221B65">
              <w:rPr>
                <w:sz w:val="20"/>
                <w:szCs w:val="20"/>
              </w:rPr>
              <w:t>Disease causing</w:t>
            </w:r>
          </w:p>
        </w:tc>
        <w:tc>
          <w:tcPr>
            <w:tcW w:w="4680" w:type="dxa"/>
            <w:shd w:val="clear" w:color="auto" w:fill="auto"/>
            <w:vAlign w:val="center"/>
          </w:tcPr>
          <w:p w14:paraId="4F7A2CEC" w14:textId="77777777" w:rsidR="00826E1D" w:rsidRPr="00221B65" w:rsidRDefault="00826E1D" w:rsidP="000B2CDB">
            <w:pPr>
              <w:rPr>
                <w:sz w:val="20"/>
                <w:szCs w:val="20"/>
              </w:rPr>
            </w:pPr>
            <w:r w:rsidRPr="00221B65">
              <w:rPr>
                <w:sz w:val="20"/>
                <w:szCs w:val="20"/>
              </w:rPr>
              <w:t xml:space="preserve">Novel mutation that falls within exon 4 hotspot associated with </w:t>
            </w:r>
            <w:proofErr w:type="spellStart"/>
            <w:r w:rsidRPr="00221B65">
              <w:rPr>
                <w:sz w:val="20"/>
                <w:szCs w:val="20"/>
              </w:rPr>
              <w:t>adRP</w:t>
            </w:r>
            <w:proofErr w:type="spellEnd"/>
            <w:r w:rsidRPr="00221B65">
              <w:rPr>
                <w:sz w:val="20"/>
                <w:szCs w:val="20"/>
              </w:rPr>
              <w:t>.</w:t>
            </w:r>
          </w:p>
          <w:p w14:paraId="1D1A3F1E" w14:textId="77777777" w:rsidR="00826E1D" w:rsidRPr="00221B65" w:rsidRDefault="00826E1D" w:rsidP="000B2CDB">
            <w:pPr>
              <w:rPr>
                <w:sz w:val="20"/>
                <w:szCs w:val="20"/>
              </w:rPr>
            </w:pPr>
            <w:r w:rsidRPr="00221B65">
              <w:rPr>
                <w:sz w:val="20"/>
                <w:szCs w:val="20"/>
              </w:rPr>
              <w:t xml:space="preserve">Reported in a family member without a reported ocular phenotype in a </w:t>
            </w:r>
            <w:proofErr w:type="gramStart"/>
            <w:r w:rsidRPr="00221B65">
              <w:rPr>
                <w:sz w:val="20"/>
                <w:szCs w:val="20"/>
              </w:rPr>
              <w:t>publicly-available</w:t>
            </w:r>
            <w:proofErr w:type="gramEnd"/>
            <w:r w:rsidRPr="00221B65">
              <w:rPr>
                <w:sz w:val="20"/>
                <w:szCs w:val="20"/>
              </w:rPr>
              <w:t xml:space="preserve"> </w:t>
            </w:r>
            <w:proofErr w:type="spellStart"/>
            <w:r w:rsidRPr="00221B65">
              <w:rPr>
                <w:sz w:val="20"/>
                <w:szCs w:val="20"/>
              </w:rPr>
              <w:t>database</w:t>
            </w:r>
            <w:r w:rsidRPr="00221B65">
              <w:rPr>
                <w:sz w:val="20"/>
                <w:szCs w:val="20"/>
                <w:vertAlign w:val="superscript"/>
              </w:rPr>
              <w:t>c</w:t>
            </w:r>
            <w:proofErr w:type="spellEnd"/>
            <w:r w:rsidRPr="00221B65">
              <w:rPr>
                <w:sz w:val="20"/>
                <w:szCs w:val="20"/>
              </w:rPr>
              <w:t>.</w:t>
            </w:r>
          </w:p>
          <w:p w14:paraId="12F4232A" w14:textId="77777777" w:rsidR="00826E1D" w:rsidRPr="00221B65" w:rsidRDefault="00826E1D" w:rsidP="000B2CDB">
            <w:pPr>
              <w:rPr>
                <w:sz w:val="20"/>
                <w:szCs w:val="20"/>
              </w:rPr>
            </w:pPr>
            <w:r w:rsidRPr="00221B65">
              <w:rPr>
                <w:sz w:val="20"/>
                <w:szCs w:val="20"/>
              </w:rPr>
              <w:t>In trans with patient’s other variant by cloning and long-range PCR.</w:t>
            </w:r>
          </w:p>
        </w:tc>
      </w:tr>
      <w:tr w:rsidR="00826E1D" w:rsidRPr="00221B65" w14:paraId="6E85C3AF" w14:textId="77777777" w:rsidTr="000B2CDB">
        <w:trPr>
          <w:trHeight w:hRule="exact" w:val="800"/>
        </w:trPr>
        <w:tc>
          <w:tcPr>
            <w:tcW w:w="1081" w:type="dxa"/>
            <w:shd w:val="clear" w:color="auto" w:fill="auto"/>
            <w:vAlign w:val="center"/>
          </w:tcPr>
          <w:p w14:paraId="007D5123" w14:textId="77777777" w:rsidR="00826E1D" w:rsidRPr="00221B65" w:rsidRDefault="00826E1D" w:rsidP="000B2CDB">
            <w:pPr>
              <w:jc w:val="center"/>
              <w:rPr>
                <w:sz w:val="20"/>
                <w:szCs w:val="20"/>
              </w:rPr>
            </w:pPr>
            <w:r w:rsidRPr="00221B65">
              <w:rPr>
                <w:sz w:val="20"/>
                <w:szCs w:val="20"/>
              </w:rPr>
              <w:t>CEI22989</w:t>
            </w:r>
          </w:p>
        </w:tc>
        <w:tc>
          <w:tcPr>
            <w:tcW w:w="1884" w:type="dxa"/>
            <w:shd w:val="clear" w:color="auto" w:fill="auto"/>
            <w:vAlign w:val="center"/>
          </w:tcPr>
          <w:p w14:paraId="629E4BC8" w14:textId="77777777" w:rsidR="00826E1D" w:rsidRPr="00221B65" w:rsidRDefault="00826E1D" w:rsidP="000B2CDB">
            <w:pPr>
              <w:rPr>
                <w:sz w:val="20"/>
                <w:szCs w:val="20"/>
              </w:rPr>
            </w:pPr>
            <w:r w:rsidRPr="00221B65">
              <w:rPr>
                <w:sz w:val="20"/>
                <w:szCs w:val="20"/>
              </w:rPr>
              <w:t xml:space="preserve">c.2028C&gt;T </w:t>
            </w:r>
            <w:proofErr w:type="gramStart"/>
            <w:r w:rsidRPr="00221B65">
              <w:rPr>
                <w:sz w:val="20"/>
                <w:szCs w:val="20"/>
              </w:rPr>
              <w:t>p.(</w:t>
            </w:r>
            <w:proofErr w:type="gramEnd"/>
            <w:r w:rsidRPr="00221B65">
              <w:rPr>
                <w:sz w:val="20"/>
                <w:szCs w:val="20"/>
              </w:rPr>
              <w:t>Arg677*)</w:t>
            </w:r>
          </w:p>
        </w:tc>
        <w:tc>
          <w:tcPr>
            <w:tcW w:w="1086" w:type="dxa"/>
            <w:shd w:val="clear" w:color="auto" w:fill="auto"/>
            <w:vAlign w:val="center"/>
          </w:tcPr>
          <w:p w14:paraId="6DCE2DF7" w14:textId="77777777" w:rsidR="00826E1D" w:rsidRPr="00221B65" w:rsidRDefault="00826E1D" w:rsidP="000B2CDB">
            <w:pPr>
              <w:jc w:val="center"/>
              <w:rPr>
                <w:sz w:val="20"/>
                <w:szCs w:val="20"/>
              </w:rPr>
            </w:pPr>
            <w:r w:rsidRPr="00221B65">
              <w:rPr>
                <w:sz w:val="20"/>
                <w:szCs w:val="20"/>
              </w:rPr>
              <w:t>4</w:t>
            </w:r>
          </w:p>
        </w:tc>
        <w:tc>
          <w:tcPr>
            <w:tcW w:w="1794" w:type="dxa"/>
            <w:shd w:val="clear" w:color="auto" w:fill="auto"/>
            <w:vAlign w:val="center"/>
          </w:tcPr>
          <w:p w14:paraId="19C66122" w14:textId="77777777" w:rsidR="00826E1D" w:rsidRPr="00221B65" w:rsidRDefault="00826E1D" w:rsidP="000B2CDB">
            <w:pPr>
              <w:jc w:val="center"/>
              <w:rPr>
                <w:sz w:val="20"/>
                <w:szCs w:val="20"/>
              </w:rPr>
            </w:pPr>
            <w:r w:rsidRPr="00221B65">
              <w:rPr>
                <w:sz w:val="20"/>
                <w:szCs w:val="20"/>
              </w:rPr>
              <w:t>n/a</w:t>
            </w:r>
          </w:p>
        </w:tc>
        <w:tc>
          <w:tcPr>
            <w:tcW w:w="1620" w:type="dxa"/>
            <w:shd w:val="clear" w:color="auto" w:fill="auto"/>
            <w:vAlign w:val="center"/>
          </w:tcPr>
          <w:p w14:paraId="6A890754" w14:textId="77777777" w:rsidR="00826E1D" w:rsidRPr="00221B65" w:rsidRDefault="00826E1D" w:rsidP="000B2CDB">
            <w:pPr>
              <w:jc w:val="center"/>
              <w:rPr>
                <w:sz w:val="20"/>
                <w:szCs w:val="20"/>
              </w:rPr>
            </w:pPr>
            <w:r w:rsidRPr="00221B65">
              <w:rPr>
                <w:sz w:val="20"/>
                <w:szCs w:val="20"/>
              </w:rPr>
              <w:t>n/a</w:t>
            </w:r>
          </w:p>
        </w:tc>
        <w:tc>
          <w:tcPr>
            <w:tcW w:w="1890" w:type="dxa"/>
            <w:shd w:val="clear" w:color="auto" w:fill="auto"/>
            <w:vAlign w:val="center"/>
          </w:tcPr>
          <w:p w14:paraId="25EB0147" w14:textId="77777777" w:rsidR="00826E1D" w:rsidRPr="00221B65" w:rsidRDefault="00826E1D" w:rsidP="000B2CDB">
            <w:pPr>
              <w:jc w:val="center"/>
              <w:rPr>
                <w:sz w:val="20"/>
                <w:szCs w:val="20"/>
              </w:rPr>
            </w:pPr>
            <w:r w:rsidRPr="00221B65">
              <w:rPr>
                <w:sz w:val="20"/>
                <w:szCs w:val="20"/>
              </w:rPr>
              <w:t>n/a</w:t>
            </w:r>
          </w:p>
        </w:tc>
        <w:tc>
          <w:tcPr>
            <w:tcW w:w="4680" w:type="dxa"/>
            <w:shd w:val="clear" w:color="auto" w:fill="auto"/>
            <w:vAlign w:val="center"/>
          </w:tcPr>
          <w:p w14:paraId="439CB984" w14:textId="77777777" w:rsidR="00826E1D" w:rsidRPr="00221B65" w:rsidRDefault="00826E1D" w:rsidP="000B2CDB">
            <w:pPr>
              <w:rPr>
                <w:sz w:val="20"/>
                <w:szCs w:val="20"/>
              </w:rPr>
            </w:pPr>
            <w:r w:rsidRPr="00221B65">
              <w:rPr>
                <w:sz w:val="20"/>
                <w:szCs w:val="20"/>
              </w:rPr>
              <w:t xml:space="preserve">First reported mutation described causing </w:t>
            </w:r>
            <w:r w:rsidRPr="00221B65">
              <w:rPr>
                <w:i/>
                <w:sz w:val="20"/>
                <w:szCs w:val="20"/>
              </w:rPr>
              <w:t>RP1</w:t>
            </w:r>
            <w:r w:rsidRPr="00221B65">
              <w:rPr>
                <w:sz w:val="20"/>
                <w:szCs w:val="20"/>
              </w:rPr>
              <w:t xml:space="preserve">-associated </w:t>
            </w:r>
            <w:proofErr w:type="spellStart"/>
            <w:r w:rsidRPr="00221B65">
              <w:rPr>
                <w:sz w:val="20"/>
                <w:szCs w:val="20"/>
              </w:rPr>
              <w:t>adRP</w:t>
            </w:r>
            <w:proofErr w:type="spellEnd"/>
            <w:r w:rsidRPr="00221B65">
              <w:rPr>
                <w:sz w:val="20"/>
                <w:szCs w:val="20"/>
              </w:rPr>
              <w:fldChar w:fldCharType="begin" w:fldLock="1"/>
            </w:r>
            <w:r w:rsidRPr="00221B65">
              <w:rPr>
                <w:sz w:val="20"/>
                <w:szCs w:val="20"/>
              </w:rPr>
              <w:instrText>ADDIN CSL_CITATION {"citationItems":[{"id":"ITEM-1","itemData":{"DOI":"10.1038/10305","ISSN":"10614036","PMID":"10391211","abstract":"Mutations in a gene encoding a new oxygen-regulated photoreceptor protein cause dominant retinitis pigmentosa","author":[{"dropping-particle":"","family":"Pierce","given":"Eric A.","non-dropping-particle":"","parse-names":false,"suffix":""},{"dropping-particle":"","family":"Quinn","given":"Tracey","non-dropping-particle":"","parse-names":false,"suffix":""},{"dropping-particle":"","family":"Meehan","given":"Terrence","non-dropping-particle":"","parse-names":false,"suffix":""},{"dropping-particle":"","family":"McGee","given":"Terri L.","non-dropping-particle":"","parse-names":false,"suffix":""},{"dropping-particle":"","family":"Berson","given":"Eliot L.","non-dropping-particle":"","parse-names":false,"suffix":""},{"dropping-particle":"","family":"Dryja","given":"Thaddeus P.","non-dropping-particle":"","parse-names":false,"suffix":""}],"container-title":"Nature Genetics","id":"ITEM-1","issue":"3","issued":{"date-parts":[["1999","7","1"]]},"page":"248-254","publisher":"Nature Publishing Group","title":"Mutations in a gene encoding a new oxygen-regulated photoreceptor protein cause dominant retinitis pigmentosa","type":"article-journal","volume":"22"},"uris":["http://www.mendeley.com/documents/?uuid=d61e5f15-bc83-4ef3-abf0-e524003b1c9f"]}],"mendeley":{"formattedCitation":"[2]","plainTextFormattedCitation":"[2]","previouslyFormattedCitation":"[2]"},"properties":{"noteIndex":0},"schema":"https://github.com/citation-style-language/schema/raw/master/csl-citation.json"}</w:instrText>
            </w:r>
            <w:r w:rsidRPr="00221B65">
              <w:rPr>
                <w:sz w:val="20"/>
                <w:szCs w:val="20"/>
              </w:rPr>
              <w:fldChar w:fldCharType="separate"/>
            </w:r>
            <w:r w:rsidRPr="00221B65">
              <w:rPr>
                <w:noProof/>
                <w:sz w:val="20"/>
                <w:szCs w:val="20"/>
              </w:rPr>
              <w:t>[2]</w:t>
            </w:r>
            <w:r w:rsidRPr="00221B65">
              <w:rPr>
                <w:sz w:val="20"/>
                <w:szCs w:val="20"/>
              </w:rPr>
              <w:fldChar w:fldCharType="end"/>
            </w:r>
            <w:r w:rsidRPr="00221B65">
              <w:rPr>
                <w:sz w:val="20"/>
                <w:szCs w:val="20"/>
              </w:rPr>
              <w:t>.</w:t>
            </w:r>
          </w:p>
        </w:tc>
      </w:tr>
      <w:tr w:rsidR="00826E1D" w:rsidRPr="00221B65" w14:paraId="4AB7261C" w14:textId="77777777" w:rsidTr="000B2CDB">
        <w:trPr>
          <w:trHeight w:hRule="exact" w:val="1021"/>
        </w:trPr>
        <w:tc>
          <w:tcPr>
            <w:tcW w:w="1081" w:type="dxa"/>
            <w:shd w:val="clear" w:color="auto" w:fill="auto"/>
            <w:vAlign w:val="center"/>
          </w:tcPr>
          <w:p w14:paraId="1CB0FC66" w14:textId="77777777" w:rsidR="00826E1D" w:rsidRPr="00221B65" w:rsidRDefault="00826E1D" w:rsidP="000B2CDB">
            <w:pPr>
              <w:jc w:val="center"/>
              <w:rPr>
                <w:sz w:val="20"/>
                <w:szCs w:val="20"/>
              </w:rPr>
            </w:pPr>
            <w:r w:rsidRPr="00221B65">
              <w:rPr>
                <w:sz w:val="20"/>
                <w:szCs w:val="20"/>
              </w:rPr>
              <w:t>CEI22989</w:t>
            </w:r>
          </w:p>
        </w:tc>
        <w:tc>
          <w:tcPr>
            <w:tcW w:w="1884" w:type="dxa"/>
            <w:shd w:val="clear" w:color="auto" w:fill="auto"/>
            <w:vAlign w:val="center"/>
          </w:tcPr>
          <w:p w14:paraId="4CCF9737" w14:textId="77777777" w:rsidR="00826E1D" w:rsidRPr="00221B65" w:rsidRDefault="00826E1D" w:rsidP="000B2CDB">
            <w:pPr>
              <w:rPr>
                <w:sz w:val="20"/>
                <w:szCs w:val="20"/>
              </w:rPr>
            </w:pPr>
            <w:r w:rsidRPr="00221B65">
              <w:rPr>
                <w:sz w:val="20"/>
                <w:szCs w:val="20"/>
              </w:rPr>
              <w:t xml:space="preserve">c.4250T&gt;C </w:t>
            </w:r>
            <w:proofErr w:type="gramStart"/>
            <w:r w:rsidRPr="00221B65">
              <w:rPr>
                <w:sz w:val="20"/>
                <w:szCs w:val="20"/>
              </w:rPr>
              <w:t>p.(</w:t>
            </w:r>
            <w:proofErr w:type="gramEnd"/>
            <w:r w:rsidRPr="00221B65">
              <w:rPr>
                <w:sz w:val="20"/>
                <w:szCs w:val="20"/>
              </w:rPr>
              <w:t>Leu1417Pro)</w:t>
            </w:r>
          </w:p>
        </w:tc>
        <w:tc>
          <w:tcPr>
            <w:tcW w:w="1086" w:type="dxa"/>
            <w:shd w:val="clear" w:color="auto" w:fill="auto"/>
            <w:vAlign w:val="center"/>
          </w:tcPr>
          <w:p w14:paraId="52E901BB" w14:textId="77777777" w:rsidR="00826E1D" w:rsidRPr="00221B65" w:rsidRDefault="00826E1D" w:rsidP="000B2CDB">
            <w:pPr>
              <w:jc w:val="center"/>
              <w:rPr>
                <w:sz w:val="20"/>
                <w:szCs w:val="20"/>
              </w:rPr>
            </w:pPr>
            <w:r w:rsidRPr="00221B65">
              <w:rPr>
                <w:sz w:val="20"/>
                <w:szCs w:val="20"/>
              </w:rPr>
              <w:t>4</w:t>
            </w:r>
          </w:p>
        </w:tc>
        <w:tc>
          <w:tcPr>
            <w:tcW w:w="1794" w:type="dxa"/>
            <w:shd w:val="clear" w:color="auto" w:fill="auto"/>
            <w:vAlign w:val="center"/>
          </w:tcPr>
          <w:p w14:paraId="4FF43A39" w14:textId="77777777" w:rsidR="00826E1D" w:rsidRPr="00221B65" w:rsidRDefault="00826E1D" w:rsidP="000B2CDB">
            <w:pPr>
              <w:jc w:val="center"/>
              <w:rPr>
                <w:sz w:val="20"/>
                <w:szCs w:val="20"/>
              </w:rPr>
            </w:pPr>
            <w:r w:rsidRPr="00221B65">
              <w:rPr>
                <w:sz w:val="20"/>
                <w:szCs w:val="20"/>
              </w:rPr>
              <w:t>383/281894</w:t>
            </w:r>
          </w:p>
          <w:p w14:paraId="676A8DFF" w14:textId="77777777" w:rsidR="00826E1D" w:rsidRPr="00221B65" w:rsidRDefault="00826E1D" w:rsidP="000B2CDB">
            <w:pPr>
              <w:jc w:val="center"/>
              <w:rPr>
                <w:sz w:val="20"/>
                <w:szCs w:val="20"/>
              </w:rPr>
            </w:pPr>
            <w:r w:rsidRPr="00221B65">
              <w:rPr>
                <w:sz w:val="20"/>
                <w:szCs w:val="20"/>
              </w:rPr>
              <w:t>(no homozygotes)</w:t>
            </w:r>
          </w:p>
        </w:tc>
        <w:tc>
          <w:tcPr>
            <w:tcW w:w="1620" w:type="dxa"/>
            <w:shd w:val="clear" w:color="auto" w:fill="auto"/>
            <w:vAlign w:val="center"/>
          </w:tcPr>
          <w:p w14:paraId="7DD6620C" w14:textId="77777777" w:rsidR="00826E1D" w:rsidRPr="00221B65" w:rsidRDefault="00826E1D" w:rsidP="000B2CDB">
            <w:pPr>
              <w:jc w:val="center"/>
              <w:rPr>
                <w:sz w:val="20"/>
                <w:szCs w:val="20"/>
              </w:rPr>
            </w:pPr>
            <w:r w:rsidRPr="00221B65">
              <w:rPr>
                <w:sz w:val="20"/>
                <w:szCs w:val="20"/>
              </w:rPr>
              <w:t xml:space="preserve">Benign </w:t>
            </w:r>
          </w:p>
          <w:p w14:paraId="247C7493" w14:textId="77777777" w:rsidR="00826E1D" w:rsidRPr="00221B65" w:rsidRDefault="00826E1D" w:rsidP="000B2CDB">
            <w:pPr>
              <w:jc w:val="center"/>
              <w:rPr>
                <w:sz w:val="20"/>
                <w:szCs w:val="20"/>
              </w:rPr>
            </w:pPr>
            <w:r w:rsidRPr="00221B65">
              <w:rPr>
                <w:sz w:val="20"/>
                <w:szCs w:val="20"/>
              </w:rPr>
              <w:t xml:space="preserve">Tolerated </w:t>
            </w:r>
          </w:p>
        </w:tc>
        <w:tc>
          <w:tcPr>
            <w:tcW w:w="1890" w:type="dxa"/>
            <w:shd w:val="clear" w:color="auto" w:fill="auto"/>
            <w:vAlign w:val="center"/>
          </w:tcPr>
          <w:p w14:paraId="5590FBF3" w14:textId="77777777" w:rsidR="00826E1D" w:rsidRPr="00221B65" w:rsidRDefault="00826E1D" w:rsidP="000B2CDB">
            <w:pPr>
              <w:jc w:val="center"/>
              <w:rPr>
                <w:sz w:val="20"/>
                <w:szCs w:val="20"/>
              </w:rPr>
            </w:pPr>
            <w:r w:rsidRPr="00221B65">
              <w:rPr>
                <w:sz w:val="20"/>
                <w:szCs w:val="20"/>
              </w:rPr>
              <w:t>Polymorphism</w:t>
            </w:r>
          </w:p>
        </w:tc>
        <w:tc>
          <w:tcPr>
            <w:tcW w:w="4680" w:type="dxa"/>
            <w:shd w:val="clear" w:color="auto" w:fill="auto"/>
            <w:vAlign w:val="center"/>
          </w:tcPr>
          <w:p w14:paraId="361E7D3C" w14:textId="77777777" w:rsidR="00826E1D" w:rsidRPr="00221B65" w:rsidRDefault="00826E1D" w:rsidP="000B2CDB">
            <w:pPr>
              <w:rPr>
                <w:sz w:val="20"/>
                <w:szCs w:val="20"/>
              </w:rPr>
            </w:pPr>
            <w:r w:rsidRPr="00221B65">
              <w:rPr>
                <w:sz w:val="20"/>
                <w:szCs w:val="20"/>
              </w:rPr>
              <w:t>Interpreted here as a variant of unknown significance based upon frequency and pathogenicity predictions.</w:t>
            </w:r>
          </w:p>
        </w:tc>
      </w:tr>
    </w:tbl>
    <w:p w14:paraId="6F3DECAA" w14:textId="77777777" w:rsidR="00826E1D" w:rsidRPr="00DC030A" w:rsidRDefault="00826E1D" w:rsidP="00826E1D"/>
    <w:p w14:paraId="35AD368F" w14:textId="77777777" w:rsidR="00826E1D" w:rsidRPr="00DC030A" w:rsidRDefault="00826E1D" w:rsidP="00826E1D">
      <w:pPr>
        <w:rPr>
          <w:sz w:val="20"/>
          <w:szCs w:val="20"/>
        </w:rPr>
      </w:pPr>
      <w:proofErr w:type="spellStart"/>
      <w:r w:rsidRPr="00DC030A">
        <w:rPr>
          <w:sz w:val="20"/>
          <w:szCs w:val="20"/>
          <w:vertAlign w:val="superscript"/>
        </w:rPr>
        <w:t>a</w:t>
      </w:r>
      <w:proofErr w:type="spellEnd"/>
      <w:r w:rsidRPr="00DC030A">
        <w:rPr>
          <w:sz w:val="20"/>
          <w:szCs w:val="20"/>
        </w:rPr>
        <w:t xml:space="preserve"> Affected protein domain is indicated as relevant (DCX amino acids 36-118 and 154-233; BIF amino acids 486-635)</w:t>
      </w:r>
      <w:r w:rsidRPr="00DC030A">
        <w:rPr>
          <w:sz w:val="20"/>
          <w:szCs w:val="20"/>
        </w:rPr>
        <w:fldChar w:fldCharType="begin" w:fldLock="1"/>
      </w:r>
      <w:r>
        <w:rPr>
          <w:sz w:val="20"/>
          <w:szCs w:val="20"/>
        </w:rPr>
        <w:instrText>ADDIN CSL_CITATION {"citationItems":[{"id":"ITEM-1","itemData":{"ISBN":"1090-0535","ISSN":"1090-0535","PMID":"23077400","abstract":"PURPOSE The purpose of this study was to identify the underlying molecular genetic defect in an Indonesian family with three affected individuals who had received a diagnosis of retinitis pigmentosa (RP). METHODS Clinical evaluation of the family members included measuring visual acuity and fundoscopy, and assessing visual field and color vision. Genomic DNA of the three affected individuals was analyzed with Illumina 700k single nucleotide polymorphism (SNP) arrays, and homozygous regions were identified using PLINK software. Mutation analysis was performed with sequence analysis of the retinitis pigmentosa 1 (RP1) gene that resided in one of the homozygous regions. The frequency of the identified mutation in the Indonesian population was determined with TaqI restriction fragment length polymorphism analysis. RESULTS A novel homozygous nonsense mutation in exon 4 of the RP1 gene, c.1012C&gt;T (p.R338*), was identified in the proband and her two affected sisters. Unaffected family members either carried two wild-type alleles or were heterozygous carriers of the mutation. The mutation was not present in 184 Indonesian control samples. CONCLUSIONS Most of the previously reported RP1 mutations are inherited in an autosomal dominant mode, and appear to cluster in exon 4. Here, we identified a novel homozygous p.R338* mutation in exon 4 of RP1, and speculate on the mutational mechanisms of different RP1 mutations underlying dominant and recessive RP.","author":[{"dropping-particle":"","family":"Siemiatkowska","given":"Anna M","non-dropping-particle":"","parse-names":false,"suffix":""},{"dropping-particle":"","family":"Astuti","given":"Galuh D N","non-dropping-particle":"","parse-names":false,"suffix":""},{"dropping-particle":"","family":"Arimadyo","given":"Kentar","non-dropping-particle":"","parse-names":false,"suffix":""},{"dropping-particle":"","family":"Hollander","given":"Anneke I","non-dropping-particle":"den","parse-names":false,"suffix":""},{"dropping-particle":"","family":"Faradz","given":"Sultana M H","non-dropping-particle":"","parse-names":false,"suffix":""},{"dropping-particle":"","family":"Cremers","given":"Frans P M","non-dropping-particle":"","parse-names":false,"suffix":""},{"dropping-particle":"","family":"Collin","given":"Rob W J","non-dropping-particle":"","parse-names":false,"suffix":""}],"container-title":"Molecular vision","id":"ITEM-1","issue":"October","issued":{"date-parts":[["2012"]]},"page":"2411-9","title":"Identification of a novel nonsense mutation in RP1 that causes autosomal recessive retinitis pigmentosa in an Indonesian family.","type":"article-journal","volume":"18"},"uris":["http://www.mendeley.com/documents/?uuid=77087b99-93cf-4754-8909-50793f240acb"]}],"mendeley":{"formattedCitation":"[3]","plainTextFormattedCitation":"[3]","previouslyFormattedCitation":"[3]"},"properties":{"noteIndex":0},"schema":"https://github.com/citation-style-language/schema/raw/master/csl-citation.json"}</w:instrText>
      </w:r>
      <w:r w:rsidRPr="00DC030A">
        <w:rPr>
          <w:sz w:val="20"/>
          <w:szCs w:val="20"/>
        </w:rPr>
        <w:fldChar w:fldCharType="separate"/>
      </w:r>
      <w:r w:rsidRPr="008850B9">
        <w:rPr>
          <w:noProof/>
          <w:sz w:val="20"/>
          <w:szCs w:val="20"/>
        </w:rPr>
        <w:t>[3]</w:t>
      </w:r>
      <w:r w:rsidRPr="00DC030A">
        <w:rPr>
          <w:sz w:val="20"/>
          <w:szCs w:val="20"/>
        </w:rPr>
        <w:fldChar w:fldCharType="end"/>
      </w:r>
    </w:p>
    <w:p w14:paraId="5112EF14" w14:textId="77777777" w:rsidR="00826E1D" w:rsidRPr="00DC030A" w:rsidRDefault="00826E1D" w:rsidP="00826E1D">
      <w:pPr>
        <w:rPr>
          <w:sz w:val="20"/>
          <w:szCs w:val="20"/>
        </w:rPr>
      </w:pPr>
      <w:r w:rsidRPr="00DC030A">
        <w:rPr>
          <w:sz w:val="20"/>
          <w:szCs w:val="20"/>
          <w:vertAlign w:val="superscript"/>
        </w:rPr>
        <w:t xml:space="preserve">b </w:t>
      </w:r>
      <w:r w:rsidRPr="00DC030A">
        <w:rPr>
          <w:sz w:val="20"/>
          <w:szCs w:val="20"/>
        </w:rPr>
        <w:t xml:space="preserve">Patient seen for genetic testing only but had a diagnosis of </w:t>
      </w:r>
      <w:proofErr w:type="spellStart"/>
      <w:r w:rsidRPr="00DC030A">
        <w:rPr>
          <w:sz w:val="20"/>
          <w:szCs w:val="20"/>
        </w:rPr>
        <w:t>Leber</w:t>
      </w:r>
      <w:proofErr w:type="spellEnd"/>
      <w:r w:rsidRPr="00DC030A">
        <w:rPr>
          <w:sz w:val="20"/>
          <w:szCs w:val="20"/>
        </w:rPr>
        <w:t xml:space="preserve"> congenital amaurosis and reported symptomatic onset at age 6 with “hand motion” visual acuity in each eye in his mid-40s.  Family members were reportedly unaffected but were unavailable for genetic testing or clinical evaluation.</w:t>
      </w:r>
    </w:p>
    <w:p w14:paraId="5E6AB804" w14:textId="77777777" w:rsidR="00826E1D" w:rsidRPr="00DC030A" w:rsidRDefault="00826E1D" w:rsidP="00826E1D">
      <w:pPr>
        <w:rPr>
          <w:sz w:val="20"/>
          <w:szCs w:val="20"/>
        </w:rPr>
      </w:pPr>
      <w:r w:rsidRPr="00DC030A">
        <w:rPr>
          <w:sz w:val="20"/>
          <w:szCs w:val="20"/>
          <w:vertAlign w:val="superscript"/>
        </w:rPr>
        <w:t>c</w:t>
      </w:r>
      <w:r w:rsidRPr="00DC030A">
        <w:rPr>
          <w:sz w:val="20"/>
          <w:szCs w:val="20"/>
        </w:rPr>
        <w:t xml:space="preserve"> http://geno2mp.gs.washington.edu/Geno2MP/#/gene/RP1/gene/0/0/0</w:t>
      </w:r>
    </w:p>
    <w:p w14:paraId="3F2264EB" w14:textId="77777777" w:rsidR="00826E1D" w:rsidRDefault="00826E1D" w:rsidP="00826E1D">
      <w:pPr>
        <w:rPr>
          <w:highlight w:val="cyan"/>
        </w:rPr>
      </w:pPr>
    </w:p>
    <w:p w14:paraId="258661B1" w14:textId="77777777" w:rsidR="00826E1D" w:rsidRDefault="00826E1D" w:rsidP="00826E1D">
      <w:pPr>
        <w:rPr>
          <w:highlight w:val="cyan"/>
        </w:rPr>
      </w:pPr>
    </w:p>
    <w:p w14:paraId="2F5E805E" w14:textId="77777777" w:rsidR="00826E1D" w:rsidRPr="003420CE" w:rsidRDefault="00826E1D" w:rsidP="00826E1D">
      <w:pPr>
        <w:rPr>
          <w:bCs/>
        </w:rPr>
      </w:pPr>
      <w:r w:rsidRPr="003420CE">
        <w:rPr>
          <w:bCs/>
        </w:rPr>
        <w:t>References:</w:t>
      </w:r>
    </w:p>
    <w:p w14:paraId="576F7169" w14:textId="77777777" w:rsidR="00826E1D" w:rsidRPr="003420CE" w:rsidRDefault="00826E1D" w:rsidP="00826E1D">
      <w:pPr>
        <w:rPr>
          <w:b/>
        </w:rPr>
      </w:pPr>
    </w:p>
    <w:p w14:paraId="695EAC1F" w14:textId="77777777" w:rsidR="00826E1D" w:rsidRPr="003420CE" w:rsidRDefault="00826E1D" w:rsidP="00826E1D">
      <w:pPr>
        <w:widowControl w:val="0"/>
        <w:autoSpaceDE w:val="0"/>
        <w:autoSpaceDN w:val="0"/>
        <w:adjustRightInd w:val="0"/>
        <w:ind w:left="640" w:hanging="640"/>
        <w:rPr>
          <w:noProof/>
        </w:rPr>
      </w:pPr>
      <w:r w:rsidRPr="003420CE">
        <w:rPr>
          <w:b/>
        </w:rPr>
        <w:fldChar w:fldCharType="begin" w:fldLock="1"/>
      </w:r>
      <w:r w:rsidRPr="003420CE">
        <w:rPr>
          <w:b/>
        </w:rPr>
        <w:instrText xml:space="preserve">ADDIN Mendeley Bibliography CSL_BIBLIOGRAPHY </w:instrText>
      </w:r>
      <w:r w:rsidRPr="003420CE">
        <w:rPr>
          <w:b/>
        </w:rPr>
        <w:fldChar w:fldCharType="separate"/>
      </w:r>
      <w:r w:rsidRPr="003420CE">
        <w:rPr>
          <w:noProof/>
        </w:rPr>
        <w:t xml:space="preserve">1. </w:t>
      </w:r>
      <w:r w:rsidRPr="003420CE">
        <w:rPr>
          <w:noProof/>
        </w:rPr>
        <w:tab/>
        <w:t xml:space="preserve">Avila-Fernandez A, Corton M, Nishiguchi KM, Muñoz-Sanz N, Benavides-Mori B, Blanco-Kelly F, Riveiro-Alvarez R, </w:t>
      </w:r>
      <w:r w:rsidRPr="003420CE">
        <w:rPr>
          <w:noProof/>
        </w:rPr>
        <w:lastRenderedPageBreak/>
        <w:t>Garcia-Sandoval B, Rivolta C, Ayuso C. Identification of an RP1 prevalent founder mutation and related phenotype in Spanish patients with early-onset autosomal recessive retinitis. Ophthalmology. 2012; 119:2616–21. [PMID 22917891]</w:t>
      </w:r>
    </w:p>
    <w:p w14:paraId="6FFE1F70" w14:textId="77777777" w:rsidR="00826E1D" w:rsidRPr="003420CE" w:rsidRDefault="00826E1D" w:rsidP="00826E1D">
      <w:pPr>
        <w:widowControl w:val="0"/>
        <w:autoSpaceDE w:val="0"/>
        <w:autoSpaceDN w:val="0"/>
        <w:adjustRightInd w:val="0"/>
        <w:ind w:left="640" w:hanging="640"/>
        <w:rPr>
          <w:noProof/>
        </w:rPr>
      </w:pPr>
      <w:r w:rsidRPr="003420CE">
        <w:rPr>
          <w:noProof/>
        </w:rPr>
        <w:t xml:space="preserve">2. </w:t>
      </w:r>
      <w:r w:rsidRPr="003420CE">
        <w:rPr>
          <w:noProof/>
        </w:rPr>
        <w:tab/>
        <w:t>Pierce EA, Quinn T, Meehan T, McGee TL, Berson EL, Dryja TP. Mutations in a gene encoding a new oxygen-regulated photoreceptor protein cause dominant retinitis pigmentosa. Nat Genet. 1999; 22:248–54. [PMID 10391211]</w:t>
      </w:r>
    </w:p>
    <w:p w14:paraId="03090766" w14:textId="77777777" w:rsidR="00826E1D" w:rsidRPr="003420CE" w:rsidRDefault="00826E1D" w:rsidP="00826E1D">
      <w:pPr>
        <w:widowControl w:val="0"/>
        <w:autoSpaceDE w:val="0"/>
        <w:autoSpaceDN w:val="0"/>
        <w:adjustRightInd w:val="0"/>
        <w:ind w:left="640" w:hanging="640"/>
        <w:rPr>
          <w:noProof/>
        </w:rPr>
      </w:pPr>
      <w:r w:rsidRPr="003420CE">
        <w:rPr>
          <w:noProof/>
        </w:rPr>
        <w:t xml:space="preserve">3. </w:t>
      </w:r>
      <w:r w:rsidRPr="003420CE">
        <w:rPr>
          <w:noProof/>
        </w:rPr>
        <w:tab/>
        <w:t>Siemiatkowska AM, Astuti GDN, Arimadyo K, den Hollander AI, Faradz SMH, Cremers FPM, Collin RWJ. Identification of a novel nonsense mutation in RP1 that causes autosomal recessive retinitis pigmentosa in an Indonesian family. Mol Vis. 2012; 18:2411–9. [PMID 23077400]</w:t>
      </w:r>
    </w:p>
    <w:p w14:paraId="1B3BC282" w14:textId="0C6D8357" w:rsidR="00C76D1D" w:rsidRDefault="00826E1D" w:rsidP="00826E1D">
      <w:r w:rsidRPr="003420CE">
        <w:rPr>
          <w:b/>
        </w:rPr>
        <w:fldChar w:fldCharType="end"/>
      </w:r>
      <w:bookmarkStart w:id="0" w:name="_GoBack"/>
      <w:bookmarkEnd w:id="0"/>
    </w:p>
    <w:sectPr w:rsidR="00C76D1D" w:rsidSect="00826E1D">
      <w:pgSz w:w="15840" w:h="12240" w:orient="landscape"/>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Yu Mincho">
    <w:charset w:val="80"/>
    <w:family w:val="roman"/>
    <w:pitch w:val="variable"/>
    <w:sig w:usb0="800002E7" w:usb1="2AC7FCFF" w:usb2="00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6E1D"/>
    <w:rsid w:val="00826E1D"/>
    <w:rsid w:val="00C76D1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69A9AD"/>
  <w15:chartTrackingRefBased/>
  <w15:docId w15:val="{FB22319D-DDBF-44BF-9CA8-7BC25F856B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826E1D"/>
    <w:pPr>
      <w:spacing w:after="0" w:line="240" w:lineRule="auto"/>
    </w:pPr>
    <w:rPr>
      <w:rFonts w:ascii="Times New Roman" w:eastAsia="Yu Mincho"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1649</Words>
  <Characters>9400</Characters>
  <Application>Microsoft Office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11027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Agiimaa, Gan Erdene</dc:creator>
  <cp:keywords/>
  <dc:description/>
  <cp:lastModifiedBy>Agiimaa, Gan Erdene</cp:lastModifiedBy>
  <cp:revision>1</cp:revision>
  <dcterms:created xsi:type="dcterms:W3CDTF">2020-05-31T02:31:00Z</dcterms:created>
  <dcterms:modified xsi:type="dcterms:W3CDTF">2020-05-31T02:31:00Z</dcterms:modified>
</cp:coreProperties>
</file>