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465"/>
        <w:tblW w:w="5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171"/>
        <w:gridCol w:w="594"/>
        <w:gridCol w:w="847"/>
        <w:gridCol w:w="1528"/>
        <w:gridCol w:w="1532"/>
        <w:gridCol w:w="992"/>
        <w:gridCol w:w="918"/>
        <w:gridCol w:w="611"/>
        <w:gridCol w:w="590"/>
        <w:gridCol w:w="638"/>
        <w:gridCol w:w="584"/>
        <w:gridCol w:w="638"/>
        <w:gridCol w:w="739"/>
        <w:gridCol w:w="685"/>
        <w:gridCol w:w="611"/>
        <w:gridCol w:w="719"/>
        <w:gridCol w:w="614"/>
        <w:gridCol w:w="999"/>
        <w:gridCol w:w="1211"/>
      </w:tblGrid>
      <w:tr w:rsidR="00CC5707" w:rsidRPr="00924A0F" w:rsidTr="009E6A36">
        <w:trPr>
          <w:trHeight w:val="1642"/>
        </w:trPr>
        <w:tc>
          <w:tcPr>
            <w:tcW w:w="19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Subject </w:t>
            </w:r>
          </w:p>
        </w:tc>
        <w:tc>
          <w:tcPr>
            <w:tcW w:w="347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proofErr w:type="gramStart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Age  at</w:t>
            </w:r>
            <w:proofErr w:type="gramEnd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1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vertAlign w:val="superscript"/>
                <w:lang w:eastAsia="en-US"/>
              </w:rPr>
              <w:t>St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Visit, Age at recent follow- up  </w:t>
            </w:r>
          </w:p>
        </w:tc>
        <w:tc>
          <w:tcPr>
            <w:tcW w:w="17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Gender</w:t>
            </w:r>
          </w:p>
        </w:tc>
        <w:tc>
          <w:tcPr>
            <w:tcW w:w="25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Mutation </w:t>
            </w:r>
          </w:p>
        </w:tc>
        <w:tc>
          <w:tcPr>
            <w:tcW w:w="45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VA </w:t>
            </w:r>
            <w:proofErr w:type="gramStart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OD:OS</w:t>
            </w:r>
            <w:proofErr w:type="gramEnd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at 1st Visit, 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VA </w:t>
            </w:r>
            <w:proofErr w:type="gramStart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OD:OS</w:t>
            </w:r>
            <w:proofErr w:type="gramEnd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at most recent visit  </w:t>
            </w:r>
          </w:p>
        </w:tc>
        <w:tc>
          <w:tcPr>
            <w:tcW w:w="45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Re</w:t>
            </w:r>
            <w:bookmarkStart w:id="0" w:name="_GoBack"/>
            <w:bookmarkEnd w:id="0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fraction 1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vertAlign w:val="superscript"/>
                <w:lang w:val="sv-SE" w:eastAsia="en-US"/>
              </w:rPr>
              <w:t>st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 xml:space="preserve"> visit 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OD (SE), OS (SE)</w:t>
            </w:r>
          </w:p>
        </w:tc>
        <w:tc>
          <w:tcPr>
            <w:tcW w:w="29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Axial Length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OD, OS</w:t>
            </w:r>
          </w:p>
        </w:tc>
        <w:tc>
          <w:tcPr>
            <w:tcW w:w="27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OCT FT OD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vertAlign w:val="superscript"/>
                <w:lang w:eastAsia="en-US"/>
              </w:rPr>
              <w:t>st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visit, FU (µm)</w:t>
            </w:r>
          </w:p>
        </w:tc>
        <w:tc>
          <w:tcPr>
            <w:tcW w:w="356" w:type="pct"/>
            <w:gridSpan w:val="2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ERG</w:t>
            </w:r>
            <w:r w:rsidRPr="00562C89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†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 xml:space="preserve"> Rod 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A           </w:t>
            </w:r>
            <w:proofErr w:type="spellStart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lt</w:t>
            </w:r>
            <w:proofErr w:type="spellEnd"/>
          </w:p>
        </w:tc>
        <w:tc>
          <w:tcPr>
            <w:tcW w:w="362" w:type="pct"/>
            <w:gridSpan w:val="2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 xml:space="preserve">ERG 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Rod- cone</w:t>
            </w: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a Wave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A        It        </w:t>
            </w:r>
          </w:p>
        </w:tc>
        <w:tc>
          <w:tcPr>
            <w:tcW w:w="408" w:type="pct"/>
            <w:gridSpan w:val="2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ERG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 xml:space="preserve">Rod- cone 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b Wave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A        It</w:t>
            </w:r>
          </w:p>
        </w:tc>
        <w:tc>
          <w:tcPr>
            <w:tcW w:w="384" w:type="pct"/>
            <w:gridSpan w:val="2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 xml:space="preserve">ERG 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Cone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a Wave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A           It</w:t>
            </w:r>
          </w:p>
        </w:tc>
        <w:tc>
          <w:tcPr>
            <w:tcW w:w="395" w:type="pct"/>
            <w:gridSpan w:val="2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ERG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 xml:space="preserve">Cone 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b Wave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A           It </w:t>
            </w:r>
          </w:p>
        </w:tc>
        <w:tc>
          <w:tcPr>
            <w:tcW w:w="655" w:type="pct"/>
            <w:gridSpan w:val="2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ERG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u w:val="single"/>
                <w:lang w:eastAsia="en-US"/>
              </w:rPr>
              <w:t>30 Hz Flicker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A               It</w:t>
            </w:r>
          </w:p>
        </w:tc>
      </w:tr>
      <w:tr w:rsidR="009E6A36" w:rsidRPr="00924A0F" w:rsidTr="009E6A36">
        <w:trPr>
          <w:trHeight w:val="1178"/>
        </w:trPr>
        <w:tc>
          <w:tcPr>
            <w:tcW w:w="19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</w:t>
            </w:r>
          </w:p>
        </w:tc>
        <w:tc>
          <w:tcPr>
            <w:tcW w:w="347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4, 9</w:t>
            </w:r>
          </w:p>
        </w:tc>
        <w:tc>
          <w:tcPr>
            <w:tcW w:w="17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F</w:t>
            </w:r>
          </w:p>
        </w:tc>
        <w:tc>
          <w:tcPr>
            <w:tcW w:w="25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c.1394T&gt;A</w:t>
            </w:r>
          </w:p>
        </w:tc>
        <w:tc>
          <w:tcPr>
            <w:tcW w:w="45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20\60: 20\</w:t>
            </w:r>
            <w:proofErr w:type="gramStart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60 ,</w:t>
            </w:r>
            <w:proofErr w:type="gramEnd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20/40: 20/25</w:t>
            </w:r>
          </w:p>
        </w:tc>
        <w:tc>
          <w:tcPr>
            <w:tcW w:w="45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-11.25 +1.25 x110 (-10.5</w:t>
            </w:r>
            <w:proofErr w:type="gramStart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) ,</w:t>
            </w:r>
            <w:proofErr w:type="gramEnd"/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 -12.00 +3.00 x85 (-10.5)</w:t>
            </w:r>
          </w:p>
        </w:tc>
        <w:tc>
          <w:tcPr>
            <w:tcW w:w="29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27.68, 27.27</w:t>
            </w:r>
          </w:p>
        </w:tc>
        <w:tc>
          <w:tcPr>
            <w:tcW w:w="27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212,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216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0</w:t>
            </w:r>
          </w:p>
        </w:tc>
        <w:tc>
          <w:tcPr>
            <w:tcW w:w="175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170</w:t>
            </w:r>
          </w:p>
        </w:tc>
        <w:tc>
          <w:tcPr>
            <w:tcW w:w="17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16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101</w:t>
            </w:r>
          </w:p>
        </w:tc>
        <w:tc>
          <w:tcPr>
            <w:tcW w:w="21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30</w:t>
            </w:r>
          </w:p>
        </w:tc>
        <w:tc>
          <w:tcPr>
            <w:tcW w:w="20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85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19</w:t>
            </w:r>
          </w:p>
        </w:tc>
        <w:tc>
          <w:tcPr>
            <w:tcW w:w="21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84</w:t>
            </w:r>
          </w:p>
        </w:tc>
        <w:tc>
          <w:tcPr>
            <w:tcW w:w="18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37</w:t>
            </w:r>
          </w:p>
        </w:tc>
        <w:tc>
          <w:tcPr>
            <w:tcW w:w="29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69</w:t>
            </w:r>
          </w:p>
        </w:tc>
        <w:tc>
          <w:tcPr>
            <w:tcW w:w="35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34</w:t>
            </w:r>
          </w:p>
        </w:tc>
      </w:tr>
      <w:tr w:rsidR="009E6A36" w:rsidRPr="00924A0F" w:rsidTr="009E6A36">
        <w:trPr>
          <w:trHeight w:val="1178"/>
        </w:trPr>
        <w:tc>
          <w:tcPr>
            <w:tcW w:w="19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</w:t>
            </w:r>
          </w:p>
        </w:tc>
        <w:tc>
          <w:tcPr>
            <w:tcW w:w="347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4, 5</w:t>
            </w:r>
          </w:p>
        </w:tc>
        <w:tc>
          <w:tcPr>
            <w:tcW w:w="17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M</w:t>
            </w:r>
          </w:p>
        </w:tc>
        <w:tc>
          <w:tcPr>
            <w:tcW w:w="25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c.1394T&gt;A</w:t>
            </w:r>
          </w:p>
        </w:tc>
        <w:tc>
          <w:tcPr>
            <w:tcW w:w="45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20\60 :20\40, 20\80:20\30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 xml:space="preserve">(Amblyopia OD) </w:t>
            </w:r>
          </w:p>
        </w:tc>
        <w:tc>
          <w:tcPr>
            <w:tcW w:w="45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-</w:t>
            </w:r>
          </w:p>
        </w:tc>
        <w:tc>
          <w:tcPr>
            <w:tcW w:w="29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27.39, 26.68</w:t>
            </w:r>
          </w:p>
        </w:tc>
        <w:tc>
          <w:tcPr>
            <w:tcW w:w="27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198,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205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0</w:t>
            </w:r>
          </w:p>
        </w:tc>
        <w:tc>
          <w:tcPr>
            <w:tcW w:w="175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116</w:t>
            </w:r>
          </w:p>
        </w:tc>
        <w:tc>
          <w:tcPr>
            <w:tcW w:w="17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22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59</w:t>
            </w:r>
          </w:p>
        </w:tc>
        <w:tc>
          <w:tcPr>
            <w:tcW w:w="21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35</w:t>
            </w:r>
          </w:p>
        </w:tc>
        <w:tc>
          <w:tcPr>
            <w:tcW w:w="20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64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22</w:t>
            </w:r>
          </w:p>
        </w:tc>
        <w:tc>
          <w:tcPr>
            <w:tcW w:w="21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69</w:t>
            </w:r>
          </w:p>
        </w:tc>
        <w:tc>
          <w:tcPr>
            <w:tcW w:w="18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39</w:t>
            </w:r>
          </w:p>
        </w:tc>
        <w:tc>
          <w:tcPr>
            <w:tcW w:w="29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58</w:t>
            </w:r>
          </w:p>
        </w:tc>
        <w:tc>
          <w:tcPr>
            <w:tcW w:w="35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33</w:t>
            </w:r>
          </w:p>
        </w:tc>
      </w:tr>
      <w:tr w:rsidR="009E6A36" w:rsidRPr="00924A0F" w:rsidTr="009E6A36">
        <w:trPr>
          <w:trHeight w:val="946"/>
        </w:trPr>
        <w:tc>
          <w:tcPr>
            <w:tcW w:w="19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3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</w:p>
        </w:tc>
        <w:tc>
          <w:tcPr>
            <w:tcW w:w="347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14, 24</w:t>
            </w:r>
          </w:p>
        </w:tc>
        <w:tc>
          <w:tcPr>
            <w:tcW w:w="17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M</w:t>
            </w:r>
          </w:p>
        </w:tc>
        <w:tc>
          <w:tcPr>
            <w:tcW w:w="25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c.2394delC</w:t>
            </w:r>
          </w:p>
        </w:tc>
        <w:tc>
          <w:tcPr>
            <w:tcW w:w="45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20\50:20\50, 20/50 :20\30</w:t>
            </w:r>
          </w:p>
        </w:tc>
        <w:tc>
          <w:tcPr>
            <w:tcW w:w="45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-7.50-1.75x65 (-8.5), -8.75-2.25 x105 (-9.75)</w:t>
            </w:r>
          </w:p>
        </w:tc>
        <w:tc>
          <w:tcPr>
            <w:tcW w:w="29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27.43, 26.90</w:t>
            </w:r>
          </w:p>
        </w:tc>
        <w:tc>
          <w:tcPr>
            <w:tcW w:w="27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195,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198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0,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0</w:t>
            </w:r>
          </w:p>
        </w:tc>
        <w:tc>
          <w:tcPr>
            <w:tcW w:w="175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253,297</w:t>
            </w:r>
          </w:p>
        </w:tc>
        <w:tc>
          <w:tcPr>
            <w:tcW w:w="17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16, 19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163,121</w:t>
            </w:r>
          </w:p>
        </w:tc>
        <w:tc>
          <w:tcPr>
            <w:tcW w:w="21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31,31</w:t>
            </w:r>
          </w:p>
        </w:tc>
        <w:tc>
          <w:tcPr>
            <w:tcW w:w="20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123,49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19,19</w:t>
            </w:r>
          </w:p>
        </w:tc>
        <w:tc>
          <w:tcPr>
            <w:tcW w:w="21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140, 82</w:t>
            </w:r>
          </w:p>
        </w:tc>
        <w:tc>
          <w:tcPr>
            <w:tcW w:w="18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35,37</w:t>
            </w:r>
          </w:p>
        </w:tc>
        <w:tc>
          <w:tcPr>
            <w:tcW w:w="29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127,81</w:t>
            </w:r>
          </w:p>
        </w:tc>
        <w:tc>
          <w:tcPr>
            <w:tcW w:w="35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27,34</w:t>
            </w:r>
          </w:p>
        </w:tc>
      </w:tr>
      <w:tr w:rsidR="009E6A36" w:rsidRPr="00924A0F" w:rsidTr="009E6A36">
        <w:trPr>
          <w:trHeight w:val="946"/>
        </w:trPr>
        <w:tc>
          <w:tcPr>
            <w:tcW w:w="19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4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</w:p>
        </w:tc>
        <w:tc>
          <w:tcPr>
            <w:tcW w:w="347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14, 24</w:t>
            </w:r>
          </w:p>
        </w:tc>
        <w:tc>
          <w:tcPr>
            <w:tcW w:w="17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M</w:t>
            </w:r>
          </w:p>
        </w:tc>
        <w:tc>
          <w:tcPr>
            <w:tcW w:w="25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c.2394delC</w:t>
            </w:r>
          </w:p>
        </w:tc>
        <w:tc>
          <w:tcPr>
            <w:tcW w:w="45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20\70:20\60, 20/30 :20\60</w:t>
            </w:r>
          </w:p>
        </w:tc>
        <w:tc>
          <w:tcPr>
            <w:tcW w:w="45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val="sv-SE" w:eastAsia="en-US"/>
              </w:rPr>
              <w:t>-8.00-1.00.x60 (-8.5), -8.00 -0.50 x150 (-8.25)</w:t>
            </w:r>
          </w:p>
        </w:tc>
        <w:tc>
          <w:tcPr>
            <w:tcW w:w="29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27.67, 27.24</w:t>
            </w:r>
          </w:p>
        </w:tc>
        <w:tc>
          <w:tcPr>
            <w:tcW w:w="27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202,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200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0,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0</w:t>
            </w:r>
          </w:p>
        </w:tc>
        <w:tc>
          <w:tcPr>
            <w:tcW w:w="175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293,304</w:t>
            </w:r>
          </w:p>
        </w:tc>
        <w:tc>
          <w:tcPr>
            <w:tcW w:w="17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16, 17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171,127</w:t>
            </w:r>
          </w:p>
        </w:tc>
        <w:tc>
          <w:tcPr>
            <w:tcW w:w="21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32,30</w:t>
            </w:r>
          </w:p>
        </w:tc>
        <w:tc>
          <w:tcPr>
            <w:tcW w:w="20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99,</w:t>
            </w:r>
          </w:p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74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18,21</w:t>
            </w:r>
          </w:p>
        </w:tc>
        <w:tc>
          <w:tcPr>
            <w:tcW w:w="21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130, 96</w:t>
            </w:r>
          </w:p>
        </w:tc>
        <w:tc>
          <w:tcPr>
            <w:tcW w:w="18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35,39</w:t>
            </w:r>
          </w:p>
        </w:tc>
        <w:tc>
          <w:tcPr>
            <w:tcW w:w="29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139,114</w:t>
            </w:r>
          </w:p>
        </w:tc>
        <w:tc>
          <w:tcPr>
            <w:tcW w:w="35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27,33</w:t>
            </w:r>
          </w:p>
        </w:tc>
      </w:tr>
      <w:tr w:rsidR="009E6A36" w:rsidRPr="00924A0F" w:rsidTr="009E6A36">
        <w:trPr>
          <w:trHeight w:val="946"/>
        </w:trPr>
        <w:tc>
          <w:tcPr>
            <w:tcW w:w="19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Normal*</w:t>
            </w:r>
          </w:p>
        </w:tc>
        <w:tc>
          <w:tcPr>
            <w:tcW w:w="347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</w:p>
        </w:tc>
        <w:tc>
          <w:tcPr>
            <w:tcW w:w="17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</w:p>
        </w:tc>
        <w:tc>
          <w:tcPr>
            <w:tcW w:w="25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</w:p>
        </w:tc>
        <w:tc>
          <w:tcPr>
            <w:tcW w:w="45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</w:p>
        </w:tc>
        <w:tc>
          <w:tcPr>
            <w:tcW w:w="45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</w:p>
        </w:tc>
        <w:tc>
          <w:tcPr>
            <w:tcW w:w="294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</w:p>
        </w:tc>
        <w:tc>
          <w:tcPr>
            <w:tcW w:w="27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215-245*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103-380</w:t>
            </w:r>
          </w:p>
        </w:tc>
        <w:tc>
          <w:tcPr>
            <w:tcW w:w="175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szCs w:val="20"/>
                <w:lang w:eastAsia="en-US"/>
              </w:rPr>
              <w:t>69-115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164-378</w:t>
            </w:r>
          </w:p>
        </w:tc>
        <w:tc>
          <w:tcPr>
            <w:tcW w:w="17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11-17</w:t>
            </w:r>
          </w:p>
        </w:tc>
        <w:tc>
          <w:tcPr>
            <w:tcW w:w="18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284-705</w:t>
            </w:r>
          </w:p>
        </w:tc>
        <w:tc>
          <w:tcPr>
            <w:tcW w:w="21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42-60</w:t>
            </w:r>
          </w:p>
        </w:tc>
        <w:tc>
          <w:tcPr>
            <w:tcW w:w="20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54-117</w:t>
            </w:r>
          </w:p>
        </w:tc>
        <w:tc>
          <w:tcPr>
            <w:tcW w:w="181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11-15</w:t>
            </w:r>
          </w:p>
        </w:tc>
        <w:tc>
          <w:tcPr>
            <w:tcW w:w="213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96-239</w:t>
            </w:r>
          </w:p>
        </w:tc>
        <w:tc>
          <w:tcPr>
            <w:tcW w:w="182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33-37</w:t>
            </w:r>
          </w:p>
        </w:tc>
        <w:tc>
          <w:tcPr>
            <w:tcW w:w="296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96-259</w:t>
            </w:r>
          </w:p>
        </w:tc>
        <w:tc>
          <w:tcPr>
            <w:tcW w:w="359" w:type="pct"/>
            <w:shd w:val="clear" w:color="auto" w:fill="auto"/>
          </w:tcPr>
          <w:p w:rsidR="00CC5707" w:rsidRPr="00924A0F" w:rsidRDefault="00CC5707" w:rsidP="00593B2C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12"/>
                <w:lang w:eastAsia="en-US"/>
              </w:rPr>
            </w:pPr>
            <w:r w:rsidRPr="00924A0F">
              <w:rPr>
                <w:rFonts w:ascii="Times New Roman" w:eastAsia="Calibri" w:hAnsi="Times New Roman" w:cs="Times New Roman"/>
                <w:sz w:val="12"/>
                <w:lang w:eastAsia="en-US"/>
              </w:rPr>
              <w:t>25-32</w:t>
            </w:r>
          </w:p>
        </w:tc>
      </w:tr>
    </w:tbl>
    <w:p w:rsidR="00CC5707" w:rsidRPr="00924A0F" w:rsidRDefault="00346646" w:rsidP="00CC5707">
      <w:pPr>
        <w:suppressAutoHyphens w:val="0"/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Appendix 4</w:t>
      </w:r>
      <w:r w:rsidR="00CC5707"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Clinical findings in 4 patients (2 sibling pairs) with </w:t>
      </w:r>
      <w:r w:rsidR="00CC570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TRPM1-</w:t>
      </w:r>
      <w:r w:rsidR="00CC5707" w:rsidRPr="00E629AA">
        <w:rPr>
          <w:rFonts w:ascii="Times New Roman" w:eastAsia="Calibri" w:hAnsi="Times New Roman" w:cs="Times New Roman"/>
          <w:sz w:val="24"/>
          <w:szCs w:val="24"/>
          <w:lang w:val="en-GB" w:eastAsia="en-US"/>
        </w:rPr>
        <w:t xml:space="preserve"> </w:t>
      </w:r>
      <w:r w:rsidR="00CC5707" w:rsidRPr="00B02036">
        <w:rPr>
          <w:rFonts w:ascii="Times New Roman" w:eastAsia="Calibri" w:hAnsi="Times New Roman" w:cs="Times New Roman"/>
          <w:sz w:val="24"/>
          <w:szCs w:val="24"/>
          <w:lang w:val="en-GB" w:eastAsia="en-US"/>
        </w:rPr>
        <w:t>associated congenital stationary night blindness (CSNB)</w:t>
      </w:r>
      <w:r w:rsidR="00CC5707"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CC5707" w:rsidRPr="00924A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For Patient 1 and 2, longitudinal data was obtained over a follow-up duration of 1 year, except for best-corrected visual acuity (BCVA) and refraction assessment of Patient 1 which was carried out over a follow up of 5 years, between the age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of 4 years and 9 years</w:t>
      </w:r>
      <w:r w:rsidR="00CC5707" w:rsidRPr="00924A0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CC5707"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Patient 3 and 4, the </w:t>
      </w:r>
      <w:r w:rsidR="00CC5707"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corresponding interval was 4 years for full field electroretinography and optical coherence tomography, and 10 years for all other data (axial length and refraction).</w:t>
      </w:r>
    </w:p>
    <w:p w:rsidR="00CC5707" w:rsidRDefault="00CC5707" w:rsidP="00CC5707">
      <w:pPr>
        <w:suppressAutoHyphens w:val="0"/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>Abbreviations ERG= full-field electroretinogram. A=</w:t>
      </w:r>
      <w:proofErr w:type="gramStart"/>
      <w:r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>amplitude  in</w:t>
      </w:r>
      <w:proofErr w:type="gramEnd"/>
      <w:r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microvolts. It=implicit time in milliseconds. OD=right eye. OS=left eye. VA=best corrected visual acuity. SE=spherical equivalent. µm=micrometers.* Reference material for optical coherence tomography (OCT) from </w:t>
      </w:r>
      <w:proofErr w:type="spellStart"/>
      <w:r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>Oreany</w:t>
      </w:r>
      <w:proofErr w:type="spellEnd"/>
      <w:r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et al. 2016 and Schatz et al 2017.</w:t>
      </w:r>
      <w:r w:rsidRPr="00924A0F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3</w:t>
      </w:r>
      <w:r w:rsidRPr="00924A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ERG and OCT thickness values shown are for OD for all patients.</w:t>
      </w:r>
      <w:r w:rsidRPr="00A17E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62C89">
        <w:rPr>
          <w:rFonts w:ascii="Times New Roman" w:eastAsia="Calibri" w:hAnsi="Times New Roman" w:cs="Times New Roman"/>
          <w:sz w:val="24"/>
          <w:szCs w:val="24"/>
          <w:lang w:eastAsia="en-US"/>
        </w:rPr>
        <w:t>†ERGs are given as: ERG at first visit, ERG at follow-up (if any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AD548D" w:rsidRDefault="009E6A36"/>
    <w:sectPr w:rsidR="00AD548D" w:rsidSect="009E6A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727"/>
    <w:rsid w:val="00346646"/>
    <w:rsid w:val="00366727"/>
    <w:rsid w:val="007C5EA0"/>
    <w:rsid w:val="009E6A36"/>
    <w:rsid w:val="00CC5707"/>
    <w:rsid w:val="00D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EEFB"/>
  <w15:docId w15:val="{2ACB584B-4669-4F88-B249-C8F40210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707"/>
    <w:pPr>
      <w:suppressAutoHyphens/>
    </w:pPr>
    <w:rPr>
      <w:rFonts w:ascii="Calibri" w:eastAsia="SimSun" w:hAnsi="Calibri" w:cs="Calibri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Agiimaa, Gan Erdene</cp:lastModifiedBy>
  <cp:revision>5</cp:revision>
  <cp:lastPrinted>2019-12-03T16:20:00Z</cp:lastPrinted>
  <dcterms:created xsi:type="dcterms:W3CDTF">2019-12-03T16:17:00Z</dcterms:created>
  <dcterms:modified xsi:type="dcterms:W3CDTF">2019-12-23T06:36:00Z</dcterms:modified>
</cp:coreProperties>
</file>