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D5DDF" w14:textId="77777777" w:rsidR="00411444" w:rsidRDefault="00411444" w:rsidP="00411444">
      <w:pPr>
        <w:pStyle w:val="Paragraph"/>
        <w:autoSpaceDE w:val="0"/>
        <w:autoSpaceDN w:val="0"/>
        <w:adjustRightInd w:val="0"/>
      </w:pPr>
      <w:r>
        <w:t xml:space="preserve">Recently, a </w:t>
      </w:r>
      <w:commentRangeStart w:id="0"/>
      <w:r>
        <w:t xml:space="preserve">cone-like photoreceptor cell line (661W cells) was developed </w:t>
      </w:r>
      <w:commentRangeEnd w:id="0"/>
      <w:r>
        <w:commentReference w:id="0"/>
      </w:r>
      <w:r>
        <w:t>[</w:t>
      </w:r>
      <w:r>
        <w:rPr>
          <w:rStyle w:val="citebib"/>
        </w:rPr>
        <w:t>20</w:t>
      </w:r>
      <w:proofErr w:type="gramStart"/>
      <w:r>
        <w:t>], and</w:t>
      </w:r>
      <w:proofErr w:type="gramEnd"/>
      <w:r>
        <w:t xml:space="preserve"> has been recognized as a useful model for studying photoreceptor cell biology [</w:t>
      </w:r>
      <w:r>
        <w:rPr>
          <w:rStyle w:val="citebib"/>
        </w:rPr>
        <w:t>21-25</w:t>
      </w:r>
      <w:r>
        <w:t>]. Several studies using 661W cells have partially elucidated the molecular mechanisms underlying photoreceptor cell metabolism [</w:t>
      </w:r>
      <w:r>
        <w:rPr>
          <w:rStyle w:val="citebib"/>
        </w:rPr>
        <w:t>24-26</w:t>
      </w:r>
      <w:r>
        <w:t>] and cell death following light exposure [</w:t>
      </w:r>
      <w:r>
        <w:rPr>
          <w:rStyle w:val="citebib"/>
        </w:rPr>
        <w:t>27-31</w:t>
      </w:r>
      <w:r>
        <w:t>] or oxidative stress [</w:t>
      </w:r>
      <w:r>
        <w:rPr>
          <w:rStyle w:val="citebib"/>
        </w:rPr>
        <w:t>32-34</w:t>
      </w:r>
      <w:r>
        <w:t>]. Our laboratory recently showed that 661W cells express functional MT</w:t>
      </w:r>
      <w:r>
        <w:rPr>
          <w:vertAlign w:val="subscript"/>
        </w:rPr>
        <w:t>1</w:t>
      </w:r>
      <w:r>
        <w:t xml:space="preserve"> and MT</w:t>
      </w:r>
      <w:r>
        <w:rPr>
          <w:vertAlign w:val="subscript"/>
        </w:rPr>
        <w:t>2</w:t>
      </w:r>
      <w:r>
        <w:t xml:space="preserve"> receptors, and the activation of these receptors by exogenous melatonin can partially protect them from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-induced cell death by inhibiting the AKT-FOXO1-Fas/FasL-caspase-3 pathway [</w:t>
      </w:r>
      <w:r>
        <w:rPr>
          <w:rStyle w:val="citebib"/>
        </w:rPr>
        <w:t>35</w:t>
      </w:r>
      <w:r>
        <w:t>].</w:t>
      </w:r>
    </w:p>
    <w:p w14:paraId="3B56ED1C" w14:textId="77777777" w:rsidR="00411444" w:rsidRDefault="00411444" w:rsidP="00411444">
      <w:pPr>
        <w:pStyle w:val="Paragraph"/>
        <w:autoSpaceDE w:val="0"/>
        <w:autoSpaceDN w:val="0"/>
        <w:adjustRightInd w:val="0"/>
      </w:pPr>
      <w:r>
        <w:t>Although the formation and signaling of MT</w:t>
      </w:r>
      <w:r>
        <w:rPr>
          <w:vertAlign w:val="subscript"/>
        </w:rPr>
        <w:t>1/2h</w:t>
      </w:r>
      <w:r>
        <w:t xml:space="preserve"> have been previously studied, those experiments used overexpression of MT</w:t>
      </w:r>
      <w:r>
        <w:rPr>
          <w:vertAlign w:val="subscript"/>
        </w:rPr>
        <w:t>1</w:t>
      </w:r>
      <w:r>
        <w:t>/MT</w:t>
      </w:r>
      <w:r>
        <w:rPr>
          <w:vertAlign w:val="subscript"/>
        </w:rPr>
        <w:t>2</w:t>
      </w:r>
      <w:r>
        <w:t xml:space="preserve"> in human embryonic kidney (HEK) 293T cells [</w:t>
      </w:r>
      <w:r>
        <w:rPr>
          <w:rStyle w:val="citebib"/>
        </w:rPr>
        <w:t>36,37</w:t>
      </w:r>
      <w:r>
        <w:t>] or mouse photoreceptors [</w:t>
      </w:r>
      <w:r>
        <w:rPr>
          <w:rStyle w:val="citebib"/>
        </w:rPr>
        <w:t>14</w:t>
      </w:r>
      <w:r>
        <w:t>]. In this study, we investigated whether endogenous MT</w:t>
      </w:r>
      <w:r>
        <w:rPr>
          <w:vertAlign w:val="subscript"/>
        </w:rPr>
        <w:t>1</w:t>
      </w:r>
      <w:r>
        <w:t xml:space="preserve"> and MT</w:t>
      </w:r>
      <w:r>
        <w:rPr>
          <w:vertAlign w:val="subscript"/>
        </w:rPr>
        <w:t>2</w:t>
      </w:r>
      <w:r>
        <w:t xml:space="preserve"> receptors form MT</w:t>
      </w:r>
      <w:r>
        <w:rPr>
          <w:vertAlign w:val="subscript"/>
        </w:rPr>
        <w:t>1/2h</w:t>
      </w:r>
      <w:r>
        <w:t xml:space="preserve"> in 661W cells and studied the intracellular pathways activated by this GPCR heterodimer.</w:t>
      </w:r>
    </w:p>
    <w:p w14:paraId="10D30E63" w14:textId="77777777" w:rsidR="00411444" w:rsidRDefault="00411444" w:rsidP="00411444">
      <w:pPr>
        <w:pStyle w:val="Head1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Methods</w:t>
      </w:r>
    </w:p>
    <w:p w14:paraId="0BDB9CD2" w14:textId="77777777" w:rsidR="00411444" w:rsidRDefault="00411444" w:rsidP="00411444">
      <w:pPr>
        <w:pStyle w:val="Head2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Cell culture</w:t>
      </w:r>
    </w:p>
    <w:p w14:paraId="031BE841" w14:textId="77777777" w:rsidR="00411444" w:rsidRDefault="00411444" w:rsidP="00411444">
      <w:pPr>
        <w:pStyle w:val="Paragraph"/>
        <w:autoSpaceDE w:val="0"/>
        <w:autoSpaceDN w:val="0"/>
        <w:adjustRightInd w:val="0"/>
      </w:pPr>
      <w:r>
        <w:t>661W cells were grown in Dulbecco’s Modified Eagle’s medium (DMEM; Gibco, Life Technologies, Carlsbad, CA) supplemented with fetal bovine serum (Gibco) and 1% penicillin/streptomycin, at 37 °C in a 5% CO</w:t>
      </w:r>
      <w:r>
        <w:rPr>
          <w:vertAlign w:val="subscript"/>
        </w:rPr>
        <w:t>2</w:t>
      </w:r>
      <w:r>
        <w:t xml:space="preserve"> humidified atmosphere [</w:t>
      </w:r>
      <w:r>
        <w:rPr>
          <w:rStyle w:val="citebib"/>
        </w:rPr>
        <w:t>35</w:t>
      </w:r>
      <w:r>
        <w:t>]. Cells were seeded in six-well plates or 75-mm flasks at a concentration of 1 × 10</w:t>
      </w:r>
      <w:r>
        <w:rPr>
          <w:vertAlign w:val="superscript"/>
        </w:rPr>
        <w:t>5</w:t>
      </w:r>
      <w:r>
        <w:t xml:space="preserve"> cells in a volume of 3–10 ml of growth media and expanded to approximately 50% to 90%, depending on the experiment.</w:t>
      </w:r>
    </w:p>
    <w:p w14:paraId="60A9AF6C" w14:textId="77777777" w:rsidR="00411444" w:rsidRDefault="00411444" w:rsidP="00411444">
      <w:pPr>
        <w:pStyle w:val="Paragraph"/>
        <w:autoSpaceDE w:val="0"/>
        <w:autoSpaceDN w:val="0"/>
        <w:adjustRightInd w:val="0"/>
      </w:pPr>
      <w:r>
        <w:t>In the proximity ligation assay (PLA) and immunofluorescence experiments, cells were seeded in sterile glass chamber slides and allowed to expand to 50% confluence. The genetic profile of the cells was established by IDEXX Bioresearch (Columbia, MO). Nine short tandem repeat (STR) loci including a gender-determining locus were analyzed [</w:t>
      </w:r>
      <w:r>
        <w:rPr>
          <w:rStyle w:val="citebib"/>
        </w:rPr>
        <w:t>35</w:t>
      </w:r>
      <w:r>
        <w:t>].</w:t>
      </w:r>
    </w:p>
    <w:p w14:paraId="68BBA9B6" w14:textId="77777777" w:rsidR="00B80BBC" w:rsidRDefault="00B80BBC">
      <w:bookmarkStart w:id="1" w:name="_GoBack"/>
      <w:bookmarkEnd w:id="1"/>
    </w:p>
    <w:sectPr w:rsidR="00B80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opy-ED-123" w:date="2019-11-05T08:33:00Z" w:initials="Copy-ED">
    <w:p w14:paraId="4C3296D4" w14:textId="77777777" w:rsidR="00411444" w:rsidRPr="001E312E" w:rsidRDefault="00411444" w:rsidP="00411444">
      <w:pPr>
        <w:pStyle w:val="CommentText"/>
        <w:spacing w:after="120"/>
        <w:rPr>
          <w:color w:val="000000"/>
          <w:sz w:val="22"/>
          <w:szCs w:val="22"/>
        </w:rPr>
      </w:pPr>
      <w:r>
        <w:rPr>
          <w:rStyle w:val="CommentReference"/>
        </w:rPr>
        <w:annotationRef/>
      </w:r>
      <w:r w:rsidRPr="001E312E">
        <w:rPr>
          <w:color w:val="000000"/>
          <w:sz w:val="22"/>
          <w:szCs w:val="22"/>
        </w:rPr>
        <w:t xml:space="preserve">Papers that use an established cell line must include a section about the STR analysis, </w:t>
      </w:r>
      <w:proofErr w:type="gramStart"/>
      <w:r w:rsidRPr="001E312E">
        <w:rPr>
          <w:color w:val="000000"/>
          <w:sz w:val="22"/>
          <w:szCs w:val="22"/>
        </w:rPr>
        <w:t>similar to</w:t>
      </w:r>
      <w:proofErr w:type="gramEnd"/>
      <w:r w:rsidRPr="001E312E">
        <w:rPr>
          <w:color w:val="000000"/>
          <w:sz w:val="22"/>
          <w:szCs w:val="22"/>
        </w:rPr>
        <w:t xml:space="preserve"> the following:</w:t>
      </w:r>
    </w:p>
    <w:p w14:paraId="4BD120E6" w14:textId="77777777" w:rsidR="00411444" w:rsidRDefault="00411444" w:rsidP="00411444">
      <w:pPr>
        <w:pStyle w:val="CommentText"/>
      </w:pPr>
      <w:r w:rsidRPr="001E312E">
        <w:rPr>
          <w:color w:val="000000"/>
          <w:sz w:val="22"/>
          <w:szCs w:val="22"/>
        </w:rPr>
        <w:t xml:space="preserve">Nineteen short tandem repeat (STR) loci plus the gender-determining locus, </w:t>
      </w:r>
      <w:proofErr w:type="spellStart"/>
      <w:r w:rsidRPr="001E312E">
        <w:rPr>
          <w:color w:val="000000"/>
          <w:sz w:val="22"/>
          <w:szCs w:val="22"/>
        </w:rPr>
        <w:t>amelogenin</w:t>
      </w:r>
      <w:proofErr w:type="spellEnd"/>
      <w:r w:rsidRPr="001E312E">
        <w:rPr>
          <w:color w:val="000000"/>
          <w:sz w:val="22"/>
          <w:szCs w:val="22"/>
        </w:rPr>
        <w:t xml:space="preserve">, were amplified using the commercially available EX20 Kit from AGCU (Wuxi, China). The cell line sample was processed using the ABI Prism® 3500 Genetic Analyzer. Data were analyzed using </w:t>
      </w:r>
      <w:proofErr w:type="spellStart"/>
      <w:r w:rsidRPr="001E312E">
        <w:rPr>
          <w:color w:val="000000"/>
          <w:sz w:val="22"/>
          <w:szCs w:val="22"/>
        </w:rPr>
        <w:t>GeneMapper</w:t>
      </w:r>
      <w:proofErr w:type="spellEnd"/>
      <w:r w:rsidRPr="001E312E">
        <w:rPr>
          <w:color w:val="000000"/>
          <w:sz w:val="22"/>
          <w:szCs w:val="22"/>
        </w:rPr>
        <w:t>® ID-X v1.2 software (Applied Biosystems, Suzhou, China). Appropriate positive and negative controls were run and confirmed for each sample submitted. The STR analyses are presented in Appendix 1</w:t>
      </w:r>
      <w:r>
        <w:rPr>
          <w:color w:val="000000"/>
          <w:sz w:val="22"/>
          <w:szCs w:val="22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BD120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D120E6" w16cid:durableId="217637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44"/>
    <w:rsid w:val="00411444"/>
    <w:rsid w:val="00B8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31D7"/>
  <w15:chartTrackingRefBased/>
  <w15:docId w15:val="{B46A5FDD-7C61-4EBF-9E6C-2B462C78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411444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11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444"/>
    <w:rPr>
      <w:rFonts w:ascii="Times New Roman" w:eastAsia="Times New Roman" w:hAnsi="Times New Roman" w:cs="Times New Roman"/>
      <w:sz w:val="20"/>
      <w:szCs w:val="20"/>
    </w:rPr>
  </w:style>
  <w:style w:type="character" w:customStyle="1" w:styleId="citebib">
    <w:name w:val="cite_bib"/>
    <w:basedOn w:val="DefaultParagraphFont"/>
    <w:rsid w:val="00411444"/>
    <w:rPr>
      <w:sz w:val="24"/>
      <w:bdr w:val="none" w:sz="0" w:space="0" w:color="auto"/>
      <w:shd w:val="clear" w:color="auto" w:fill="CCFFFF"/>
    </w:rPr>
  </w:style>
  <w:style w:type="paragraph" w:customStyle="1" w:styleId="Head1">
    <w:name w:val="Head1"/>
    <w:basedOn w:val="Normal"/>
    <w:rsid w:val="00411444"/>
    <w:pPr>
      <w:keepNext/>
      <w:spacing w:before="240" w:after="0" w:line="240" w:lineRule="auto"/>
      <w:outlineLvl w:val="0"/>
    </w:pPr>
    <w:rPr>
      <w:rFonts w:ascii="Arial" w:eastAsia="Times New Roman" w:hAnsi="Arial" w:cs="Times New Roman"/>
      <w:kern w:val="28"/>
      <w:sz w:val="28"/>
      <w:szCs w:val="28"/>
    </w:rPr>
  </w:style>
  <w:style w:type="paragraph" w:customStyle="1" w:styleId="Head2">
    <w:name w:val="Head2"/>
    <w:basedOn w:val="Normal"/>
    <w:rsid w:val="00411444"/>
    <w:pPr>
      <w:keepNext/>
      <w:spacing w:before="240" w:after="0" w:line="240" w:lineRule="auto"/>
      <w:outlineLvl w:val="1"/>
    </w:pPr>
    <w:rPr>
      <w:rFonts w:ascii="Arial" w:eastAsia="Times New Roman" w:hAnsi="Arial" w:cs="Times New Roman"/>
      <w:b/>
      <w:kern w:val="28"/>
      <w:sz w:val="24"/>
      <w:szCs w:val="28"/>
    </w:rPr>
  </w:style>
  <w:style w:type="paragraph" w:customStyle="1" w:styleId="Paragraph">
    <w:name w:val="Paragraph"/>
    <w:basedOn w:val="Normal"/>
    <w:rsid w:val="00411444"/>
    <w:pPr>
      <w:spacing w:before="12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2019-11-13T13:09:00Z</dcterms:created>
  <dcterms:modified xsi:type="dcterms:W3CDTF">2019-11-13T13:10:00Z</dcterms:modified>
</cp:coreProperties>
</file>