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1F" w:rsidRPr="00BF265E" w:rsidRDefault="00791790" w:rsidP="00676782">
      <w:pPr>
        <w:shd w:val="clear" w:color="auto" w:fill="FFFFFF"/>
        <w:bidi w:val="0"/>
        <w:spacing w:before="143" w:after="71" w:line="240" w:lineRule="auto"/>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b/>
          <w:bCs/>
          <w:color w:val="000000"/>
          <w:sz w:val="24"/>
          <w:szCs w:val="24"/>
        </w:rPr>
        <w:t>Supplementary Table S2</w:t>
      </w:r>
      <w:r w:rsidRPr="00BF265E">
        <w:rPr>
          <w:rFonts w:asciiTheme="majorBidi" w:eastAsia="Times New Roman" w:hAnsiTheme="majorBidi" w:cstheme="majorBidi"/>
          <w:color w:val="000000"/>
          <w:sz w:val="24"/>
          <w:szCs w:val="24"/>
        </w:rPr>
        <w:t>. Genes included in the study</w:t>
      </w:r>
    </w:p>
    <w:tbl>
      <w:tblPr>
        <w:tblStyle w:val="a3"/>
        <w:tblW w:w="13858" w:type="dxa"/>
        <w:tblLook w:val="04A0"/>
      </w:tblPr>
      <w:tblGrid>
        <w:gridCol w:w="1257"/>
        <w:gridCol w:w="2962"/>
        <w:gridCol w:w="9639"/>
      </w:tblGrid>
      <w:tr w:rsidR="00676782" w:rsidRPr="00BF265E" w:rsidTr="002A3380">
        <w:tc>
          <w:tcPr>
            <w:tcW w:w="1257" w:type="dxa"/>
          </w:tcPr>
          <w:p w:rsidR="00791790" w:rsidRPr="00BF265E" w:rsidRDefault="00791790" w:rsidP="00676782">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Gene</w:t>
            </w:r>
          </w:p>
        </w:tc>
        <w:tc>
          <w:tcPr>
            <w:tcW w:w="2962" w:type="dxa"/>
          </w:tcPr>
          <w:p w:rsidR="00791790" w:rsidRPr="00BF265E" w:rsidRDefault="00791790" w:rsidP="00676782">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Protein</w:t>
            </w:r>
          </w:p>
        </w:tc>
        <w:tc>
          <w:tcPr>
            <w:tcW w:w="9639" w:type="dxa"/>
          </w:tcPr>
          <w:p w:rsidR="00791790" w:rsidRPr="00BF265E" w:rsidRDefault="00791790" w:rsidP="00676782">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Function</w:t>
            </w:r>
          </w:p>
        </w:tc>
      </w:tr>
      <w:tr w:rsidR="00676782" w:rsidRPr="00BF265E" w:rsidTr="002A3380">
        <w:tc>
          <w:tcPr>
            <w:tcW w:w="1257" w:type="dxa"/>
          </w:tcPr>
          <w:p w:rsidR="00791790" w:rsidRPr="00BF265E" w:rsidRDefault="00791790" w:rsidP="00676782">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ABCA4</w:t>
            </w:r>
          </w:p>
        </w:tc>
        <w:tc>
          <w:tcPr>
            <w:tcW w:w="2962" w:type="dxa"/>
          </w:tcPr>
          <w:p w:rsidR="00791790" w:rsidRPr="00BF265E" w:rsidRDefault="00791790" w:rsidP="00676782">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ATP-binding cassette, subfamily A, member 4</w:t>
            </w:r>
          </w:p>
        </w:tc>
        <w:tc>
          <w:tcPr>
            <w:tcW w:w="9639" w:type="dxa"/>
          </w:tcPr>
          <w:p w:rsidR="00791790" w:rsidRPr="00BF265E" w:rsidRDefault="00791790" w:rsidP="00676782">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ATP-binding cassette (ABC) superfamily transmembrane protein expressed exclusively in retinal photoreceptors that is involved in clearance from photoreceptor cells of all-trans-retinal </w:t>
            </w:r>
            <w:proofErr w:type="spellStart"/>
            <w:r w:rsidRPr="00BF265E">
              <w:rPr>
                <w:rFonts w:asciiTheme="majorBidi" w:eastAsia="Times New Roman" w:hAnsiTheme="majorBidi" w:cstheme="majorBidi"/>
                <w:color w:val="000000"/>
                <w:sz w:val="24"/>
                <w:szCs w:val="24"/>
              </w:rPr>
              <w:t>aldehyde</w:t>
            </w:r>
            <w:proofErr w:type="spellEnd"/>
            <w:r w:rsidRPr="00BF265E">
              <w:rPr>
                <w:rFonts w:asciiTheme="majorBidi" w:eastAsia="Times New Roman" w:hAnsiTheme="majorBidi" w:cstheme="majorBidi"/>
                <w:color w:val="000000"/>
                <w:sz w:val="24"/>
                <w:szCs w:val="24"/>
              </w:rPr>
              <w:t xml:space="preserve"> (</w:t>
            </w:r>
            <w:proofErr w:type="spellStart"/>
            <w:r w:rsidRPr="00BF265E">
              <w:rPr>
                <w:rFonts w:asciiTheme="majorBidi" w:eastAsia="Times New Roman" w:hAnsiTheme="majorBidi" w:cstheme="majorBidi"/>
                <w:color w:val="000000"/>
                <w:sz w:val="24"/>
                <w:szCs w:val="24"/>
              </w:rPr>
              <w:t>atRAL</w:t>
            </w:r>
            <w:proofErr w:type="spellEnd"/>
            <w:r w:rsidRPr="00BF265E">
              <w:rPr>
                <w:rFonts w:asciiTheme="majorBidi" w:eastAsia="Times New Roman" w:hAnsiTheme="majorBidi" w:cstheme="majorBidi"/>
                <w:color w:val="000000"/>
                <w:sz w:val="24"/>
                <w:szCs w:val="24"/>
              </w:rPr>
              <w:t>), a byproduct of the retinoid cycle of vision</w:t>
            </w:r>
          </w:p>
        </w:tc>
      </w:tr>
      <w:tr w:rsidR="002A3380" w:rsidRPr="00BF265E" w:rsidTr="002A3380">
        <w:tc>
          <w:tcPr>
            <w:tcW w:w="1257" w:type="dxa"/>
          </w:tcPr>
          <w:p w:rsidR="002A3380" w:rsidRPr="00BF265E" w:rsidRDefault="002A3380"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AVPR2</w:t>
            </w:r>
          </w:p>
        </w:tc>
        <w:tc>
          <w:tcPr>
            <w:tcW w:w="2962" w:type="dxa"/>
          </w:tcPr>
          <w:p w:rsidR="002A3380" w:rsidRPr="00BF265E" w:rsidRDefault="002A3380" w:rsidP="00DF1B1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Arginine vasopressin receptor 2 </w:t>
            </w:r>
          </w:p>
        </w:tc>
        <w:tc>
          <w:tcPr>
            <w:tcW w:w="9639" w:type="dxa"/>
          </w:tcPr>
          <w:p w:rsidR="002A3380" w:rsidRPr="00BF265E" w:rsidRDefault="002A3380"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A G protein-coupled receptor. In the collecting ducts of the kidney, the </w:t>
            </w:r>
            <w:r w:rsidRPr="00BF265E">
              <w:rPr>
                <w:rFonts w:asciiTheme="majorBidi" w:eastAsia="Times New Roman" w:hAnsiTheme="majorBidi" w:cstheme="majorBidi"/>
                <w:sz w:val="24"/>
                <w:szCs w:val="24"/>
              </w:rPr>
              <w:t>AVPR2</w:t>
            </w:r>
            <w:r w:rsidRPr="00BF265E">
              <w:rPr>
                <w:rFonts w:asciiTheme="majorBidi" w:eastAsia="Times New Roman" w:hAnsiTheme="majorBidi" w:cstheme="majorBidi"/>
                <w:color w:val="000000"/>
                <w:sz w:val="24"/>
                <w:szCs w:val="24"/>
              </w:rPr>
              <w:t> receptor is involved in the maintenance of water homeostasis.</w:t>
            </w:r>
          </w:p>
        </w:tc>
      </w:tr>
      <w:tr w:rsidR="002A3380" w:rsidRPr="00BF265E" w:rsidTr="002A3380">
        <w:tc>
          <w:tcPr>
            <w:tcW w:w="1257" w:type="dxa"/>
          </w:tcPr>
          <w:p w:rsidR="002A3380" w:rsidRPr="00BF265E" w:rsidRDefault="002A3380"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BEST1</w:t>
            </w:r>
          </w:p>
        </w:tc>
        <w:tc>
          <w:tcPr>
            <w:tcW w:w="2962" w:type="dxa"/>
          </w:tcPr>
          <w:p w:rsidR="002A3380" w:rsidRPr="00BF265E" w:rsidRDefault="002A3380" w:rsidP="00DF1B1D">
            <w:pPr>
              <w:shd w:val="clear" w:color="auto" w:fill="FFFFFF"/>
              <w:bidi w:val="0"/>
              <w:spacing w:before="143" w:after="71"/>
              <w:outlineLvl w:val="2"/>
              <w:rPr>
                <w:rFonts w:asciiTheme="majorBidi" w:eastAsia="Times New Roman" w:hAnsiTheme="majorBidi" w:cstheme="majorBidi"/>
                <w:color w:val="000000"/>
                <w:sz w:val="24"/>
                <w:szCs w:val="24"/>
              </w:rPr>
            </w:pPr>
            <w:proofErr w:type="spellStart"/>
            <w:r w:rsidRPr="00BF265E">
              <w:rPr>
                <w:rFonts w:asciiTheme="majorBidi" w:eastAsia="Times New Roman" w:hAnsiTheme="majorBidi" w:cstheme="majorBidi"/>
                <w:color w:val="000000"/>
                <w:sz w:val="24"/>
                <w:szCs w:val="24"/>
              </w:rPr>
              <w:t>Bestrophin</w:t>
            </w:r>
            <w:proofErr w:type="spellEnd"/>
            <w:r w:rsidRPr="00BF265E">
              <w:rPr>
                <w:rFonts w:asciiTheme="majorBidi" w:eastAsia="Times New Roman" w:hAnsiTheme="majorBidi" w:cstheme="majorBidi"/>
                <w:color w:val="000000"/>
                <w:sz w:val="24"/>
                <w:szCs w:val="24"/>
              </w:rPr>
              <w:t xml:space="preserve"> 1</w:t>
            </w:r>
          </w:p>
        </w:tc>
        <w:tc>
          <w:tcPr>
            <w:tcW w:w="9639" w:type="dxa"/>
          </w:tcPr>
          <w:p w:rsidR="002A3380" w:rsidRPr="00BF265E" w:rsidRDefault="002A3380"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BEST1 belongs to the </w:t>
            </w:r>
            <w:proofErr w:type="spellStart"/>
            <w:r w:rsidRPr="00BF265E">
              <w:rPr>
                <w:rFonts w:asciiTheme="majorBidi" w:eastAsia="Times New Roman" w:hAnsiTheme="majorBidi" w:cstheme="majorBidi"/>
                <w:color w:val="000000"/>
                <w:sz w:val="24"/>
                <w:szCs w:val="24"/>
              </w:rPr>
              <w:t>bestrophin</w:t>
            </w:r>
            <w:proofErr w:type="spellEnd"/>
            <w:r w:rsidRPr="00BF265E">
              <w:rPr>
                <w:rFonts w:asciiTheme="majorBidi" w:eastAsia="Times New Roman" w:hAnsiTheme="majorBidi" w:cstheme="majorBidi"/>
                <w:color w:val="000000"/>
                <w:sz w:val="24"/>
                <w:szCs w:val="24"/>
              </w:rPr>
              <w:t xml:space="preserve"> family of anion channels. </w:t>
            </w:r>
            <w:r w:rsidRPr="00BF265E">
              <w:rPr>
                <w:rFonts w:asciiTheme="majorBidi" w:eastAsia="Times New Roman" w:hAnsiTheme="majorBidi" w:cstheme="majorBidi"/>
                <w:sz w:val="24"/>
                <w:szCs w:val="24"/>
              </w:rPr>
              <w:t>BEST1</w:t>
            </w:r>
            <w:r w:rsidRPr="00BF265E">
              <w:rPr>
                <w:rFonts w:asciiTheme="majorBidi" w:eastAsia="Times New Roman" w:hAnsiTheme="majorBidi" w:cstheme="majorBidi"/>
                <w:color w:val="000000"/>
                <w:sz w:val="24"/>
                <w:szCs w:val="24"/>
              </w:rPr>
              <w:t> mediates chloride ion efflux in RPE cells.</w:t>
            </w:r>
            <w:r w:rsidRPr="00BF265E">
              <w:rPr>
                <w:rFonts w:asciiTheme="majorBidi" w:hAnsiTheme="majorBidi" w:cstheme="majorBidi"/>
                <w:color w:val="000000"/>
                <w:sz w:val="24"/>
                <w:szCs w:val="24"/>
                <w:shd w:val="clear" w:color="auto" w:fill="FFFFFF"/>
              </w:rPr>
              <w:t xml:space="preserve">  </w:t>
            </w:r>
          </w:p>
        </w:tc>
      </w:tr>
      <w:tr w:rsidR="002A3380" w:rsidRPr="00BF265E" w:rsidTr="002A3380">
        <w:tc>
          <w:tcPr>
            <w:tcW w:w="1257" w:type="dxa"/>
          </w:tcPr>
          <w:p w:rsidR="002A3380" w:rsidRPr="00BF265E" w:rsidRDefault="002A3380"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CACNA1F</w:t>
            </w:r>
          </w:p>
        </w:tc>
        <w:tc>
          <w:tcPr>
            <w:tcW w:w="2962" w:type="dxa"/>
          </w:tcPr>
          <w:p w:rsidR="002A3380" w:rsidRPr="00BF265E" w:rsidRDefault="002A3380" w:rsidP="00DF1B1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Calcium Channel, voltage-dependent, alpha-1F subunit </w:t>
            </w:r>
          </w:p>
        </w:tc>
        <w:tc>
          <w:tcPr>
            <w:tcW w:w="9639" w:type="dxa"/>
          </w:tcPr>
          <w:p w:rsidR="002A3380" w:rsidRPr="00BF265E" w:rsidRDefault="002A3380"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CACNA1F constitutes the major molecular correlate of the retinal L-type calcium current. Its intrinsic biophysical properties, in particular its unique inactivation properties, enable it to provide a sustained calcium current over the voltage range required for tonic glutamate release at the photoreceptor synapse.</w:t>
            </w:r>
          </w:p>
        </w:tc>
      </w:tr>
      <w:tr w:rsidR="00676782" w:rsidRPr="00BF265E" w:rsidTr="002A3380">
        <w:tc>
          <w:tcPr>
            <w:tcW w:w="1257" w:type="dxa"/>
          </w:tcPr>
          <w:p w:rsidR="00791790" w:rsidRPr="00BF265E" w:rsidRDefault="00C9200D" w:rsidP="00676782">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FAM161A</w:t>
            </w:r>
          </w:p>
        </w:tc>
        <w:tc>
          <w:tcPr>
            <w:tcW w:w="2962" w:type="dxa"/>
          </w:tcPr>
          <w:p w:rsidR="00791790" w:rsidRPr="00BF265E" w:rsidRDefault="00C9200D" w:rsidP="00DF1B1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F</w:t>
            </w:r>
            <w:r w:rsidR="000C3C51" w:rsidRPr="00BF265E">
              <w:rPr>
                <w:rFonts w:asciiTheme="majorBidi" w:eastAsia="Times New Roman" w:hAnsiTheme="majorBidi" w:cstheme="majorBidi"/>
                <w:color w:val="000000"/>
                <w:sz w:val="24"/>
                <w:szCs w:val="24"/>
              </w:rPr>
              <w:t>amily with sequence similarity 161, member A</w:t>
            </w:r>
          </w:p>
        </w:tc>
        <w:tc>
          <w:tcPr>
            <w:tcW w:w="9639" w:type="dxa"/>
          </w:tcPr>
          <w:p w:rsidR="00C9200D" w:rsidRPr="00BF265E" w:rsidRDefault="00C9200D" w:rsidP="00DF1B1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FAM161A localize</w:t>
            </w:r>
            <w:r w:rsidR="002C6674" w:rsidRPr="00BF265E">
              <w:rPr>
                <w:rFonts w:asciiTheme="majorBidi" w:eastAsia="Times New Roman" w:hAnsiTheme="majorBidi" w:cstheme="majorBidi"/>
                <w:color w:val="000000"/>
                <w:sz w:val="24"/>
                <w:szCs w:val="24"/>
              </w:rPr>
              <w:t>s</w:t>
            </w:r>
            <w:r w:rsidRPr="00BF265E">
              <w:rPr>
                <w:rFonts w:asciiTheme="majorBidi" w:eastAsia="Times New Roman" w:hAnsiTheme="majorBidi" w:cstheme="majorBidi"/>
                <w:color w:val="000000"/>
                <w:sz w:val="24"/>
                <w:szCs w:val="24"/>
              </w:rPr>
              <w:t xml:space="preserve"> to cilia of rod and cone photoreceptor cells.</w:t>
            </w:r>
            <w:r w:rsidR="00DF1B1D" w:rsidRPr="00BF265E">
              <w:rPr>
                <w:rFonts w:asciiTheme="majorBidi" w:eastAsia="Times New Roman" w:hAnsiTheme="majorBidi" w:cstheme="majorBidi"/>
                <w:color w:val="000000"/>
                <w:sz w:val="24"/>
                <w:szCs w:val="24"/>
              </w:rPr>
              <w:t xml:space="preserve"> It</w:t>
            </w:r>
            <w:r w:rsidRPr="00BF265E">
              <w:rPr>
                <w:rFonts w:asciiTheme="majorBidi" w:eastAsia="Times New Roman" w:hAnsiTheme="majorBidi" w:cstheme="majorBidi"/>
                <w:color w:val="000000"/>
                <w:sz w:val="24"/>
                <w:szCs w:val="24"/>
              </w:rPr>
              <w:t xml:space="preserve"> is involved in development of retinal progenitors during embryogenesis in mouse.</w:t>
            </w:r>
          </w:p>
        </w:tc>
      </w:tr>
      <w:tr w:rsidR="002A3380" w:rsidRPr="00BF265E" w:rsidTr="002A3380">
        <w:tc>
          <w:tcPr>
            <w:tcW w:w="1257" w:type="dxa"/>
          </w:tcPr>
          <w:p w:rsidR="002A3380" w:rsidRPr="00BF265E" w:rsidRDefault="002A3380"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GUCY2D</w:t>
            </w:r>
          </w:p>
        </w:tc>
        <w:tc>
          <w:tcPr>
            <w:tcW w:w="2962" w:type="dxa"/>
          </w:tcPr>
          <w:p w:rsidR="002A3380" w:rsidRPr="00BF265E" w:rsidRDefault="002A3380"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Guanylate cyclase 2D</w:t>
            </w:r>
          </w:p>
          <w:p w:rsidR="002A3380" w:rsidRPr="00BF265E" w:rsidRDefault="002A3380" w:rsidP="0057278D">
            <w:pPr>
              <w:shd w:val="clear" w:color="auto" w:fill="FFFFFF"/>
              <w:bidi w:val="0"/>
              <w:spacing w:before="143" w:after="71"/>
              <w:outlineLvl w:val="2"/>
              <w:rPr>
                <w:rFonts w:asciiTheme="majorBidi" w:eastAsia="Times New Roman" w:hAnsiTheme="majorBidi" w:cstheme="majorBidi"/>
                <w:color w:val="000000"/>
                <w:sz w:val="24"/>
                <w:szCs w:val="24"/>
              </w:rPr>
            </w:pPr>
          </w:p>
        </w:tc>
        <w:tc>
          <w:tcPr>
            <w:tcW w:w="9639" w:type="dxa"/>
          </w:tcPr>
          <w:p w:rsidR="002A3380" w:rsidRPr="00BF265E" w:rsidRDefault="002A3380"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GUCY2D is a member of the subfamily of membrane </w:t>
            </w:r>
            <w:proofErr w:type="spellStart"/>
            <w:r w:rsidRPr="00BF265E">
              <w:rPr>
                <w:rFonts w:asciiTheme="majorBidi" w:eastAsia="Times New Roman" w:hAnsiTheme="majorBidi" w:cstheme="majorBidi"/>
                <w:color w:val="000000"/>
                <w:sz w:val="24"/>
                <w:szCs w:val="24"/>
              </w:rPr>
              <w:t>guanylate</w:t>
            </w:r>
            <w:proofErr w:type="spellEnd"/>
            <w:r w:rsidRPr="00BF265E">
              <w:rPr>
                <w:rFonts w:asciiTheme="majorBidi" w:eastAsia="Times New Roman" w:hAnsiTheme="majorBidi" w:cstheme="majorBidi"/>
                <w:color w:val="000000"/>
                <w:sz w:val="24"/>
                <w:szCs w:val="24"/>
              </w:rPr>
              <w:t xml:space="preserve"> </w:t>
            </w:r>
            <w:proofErr w:type="spellStart"/>
            <w:r w:rsidRPr="00BF265E">
              <w:rPr>
                <w:rFonts w:asciiTheme="majorBidi" w:eastAsia="Times New Roman" w:hAnsiTheme="majorBidi" w:cstheme="majorBidi"/>
                <w:color w:val="000000"/>
                <w:sz w:val="24"/>
                <w:szCs w:val="24"/>
              </w:rPr>
              <w:t>cyclases</w:t>
            </w:r>
            <w:proofErr w:type="spellEnd"/>
            <w:r w:rsidRPr="00BF265E">
              <w:rPr>
                <w:rFonts w:asciiTheme="majorBidi" w:eastAsia="Times New Roman" w:hAnsiTheme="majorBidi" w:cstheme="majorBidi"/>
                <w:color w:val="000000"/>
                <w:sz w:val="24"/>
                <w:szCs w:val="24"/>
              </w:rPr>
              <w:t xml:space="preserve"> with 2 </w:t>
            </w:r>
            <w:proofErr w:type="gramStart"/>
            <w:r w:rsidRPr="00BF265E">
              <w:rPr>
                <w:rFonts w:asciiTheme="majorBidi" w:eastAsia="Times New Roman" w:hAnsiTheme="majorBidi" w:cstheme="majorBidi"/>
                <w:color w:val="000000"/>
                <w:sz w:val="24"/>
                <w:szCs w:val="24"/>
              </w:rPr>
              <w:t>Ca(</w:t>
            </w:r>
            <w:proofErr w:type="gramEnd"/>
            <w:r w:rsidRPr="00BF265E">
              <w:rPr>
                <w:rFonts w:asciiTheme="majorBidi" w:eastAsia="Times New Roman" w:hAnsiTheme="majorBidi" w:cstheme="majorBidi"/>
                <w:color w:val="000000"/>
                <w:sz w:val="24"/>
                <w:szCs w:val="24"/>
              </w:rPr>
              <w:t>2+) switches referred to as calcium-regulated modules (CRMs) and designated CRM1 and CRM2. These are separately located within the intracellular domain of the cyclase. CRM1 switches on the enzyme at nanomolar concentrations of calcium ion and is linked with phototransduction; CRM2 stimulates at micromolar calcium ion concentrations and is predicted to be linked with retinal synaptic activity. </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MEFV</w:t>
            </w:r>
          </w:p>
        </w:tc>
        <w:tc>
          <w:tcPr>
            <w:tcW w:w="2962" w:type="dxa"/>
          </w:tcPr>
          <w:p w:rsidR="00EC5255" w:rsidRPr="00BF265E" w:rsidRDefault="00EC5255" w:rsidP="008A0C67">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Familial Mediterranean </w:t>
            </w:r>
            <w:r w:rsidRPr="00BF265E">
              <w:rPr>
                <w:rFonts w:asciiTheme="majorBidi" w:eastAsia="Times New Roman" w:hAnsiTheme="majorBidi" w:cstheme="majorBidi"/>
                <w:color w:val="000000"/>
                <w:sz w:val="24"/>
                <w:szCs w:val="24"/>
              </w:rPr>
              <w:lastRenderedPageBreak/>
              <w:t xml:space="preserve">Fever </w:t>
            </w:r>
          </w:p>
        </w:tc>
        <w:tc>
          <w:tcPr>
            <w:tcW w:w="9639"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proofErr w:type="gramStart"/>
            <w:r w:rsidRPr="00BF265E">
              <w:rPr>
                <w:rFonts w:asciiTheme="majorBidi" w:eastAsia="Times New Roman" w:hAnsiTheme="majorBidi" w:cstheme="majorBidi"/>
                <w:color w:val="000000"/>
                <w:sz w:val="24"/>
                <w:szCs w:val="24"/>
              </w:rPr>
              <w:lastRenderedPageBreak/>
              <w:t>Investigators  placed</w:t>
            </w:r>
            <w:proofErr w:type="gramEnd"/>
            <w:r w:rsidRPr="00BF265E">
              <w:rPr>
                <w:rFonts w:asciiTheme="majorBidi" w:eastAsia="Times New Roman" w:hAnsiTheme="majorBidi" w:cstheme="majorBidi"/>
                <w:color w:val="000000"/>
                <w:sz w:val="24"/>
                <w:szCs w:val="24"/>
              </w:rPr>
              <w:t xml:space="preserve"> the </w:t>
            </w:r>
            <w:r w:rsidRPr="00BF265E">
              <w:rPr>
                <w:rFonts w:asciiTheme="majorBidi" w:eastAsia="Times New Roman" w:hAnsiTheme="majorBidi" w:cstheme="majorBidi"/>
                <w:sz w:val="24"/>
                <w:szCs w:val="24"/>
              </w:rPr>
              <w:t>MEFV</w:t>
            </w:r>
            <w:r w:rsidRPr="00BF265E">
              <w:rPr>
                <w:rFonts w:asciiTheme="majorBidi" w:eastAsia="Times New Roman" w:hAnsiTheme="majorBidi" w:cstheme="majorBidi"/>
                <w:color w:val="000000"/>
                <w:sz w:val="24"/>
                <w:szCs w:val="24"/>
              </w:rPr>
              <w:t xml:space="preserve"> gene in the myelomonocytic-specific proinflammatory pathway </w:t>
            </w:r>
            <w:r w:rsidRPr="00BF265E">
              <w:rPr>
                <w:rFonts w:asciiTheme="majorBidi" w:eastAsia="Times New Roman" w:hAnsiTheme="majorBidi" w:cstheme="majorBidi"/>
                <w:color w:val="000000"/>
                <w:sz w:val="24"/>
                <w:szCs w:val="24"/>
              </w:rPr>
              <w:lastRenderedPageBreak/>
              <w:t>and identified it as an interferon-gamma immediate early gene. </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lastRenderedPageBreak/>
              <w:t>MYO7A</w:t>
            </w:r>
          </w:p>
        </w:tc>
        <w:tc>
          <w:tcPr>
            <w:tcW w:w="2962" w:type="dxa"/>
          </w:tcPr>
          <w:p w:rsidR="00EC5255" w:rsidRPr="00BF265E" w:rsidRDefault="00EC5255" w:rsidP="00DF1B1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Myosin VIIA</w:t>
            </w:r>
          </w:p>
        </w:tc>
        <w:tc>
          <w:tcPr>
            <w:tcW w:w="9639"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MYO7A is </w:t>
            </w:r>
            <w:r w:rsidR="00DF1B1D" w:rsidRPr="00BF265E">
              <w:rPr>
                <w:rFonts w:asciiTheme="majorBidi" w:eastAsia="Times New Roman" w:hAnsiTheme="majorBidi" w:cstheme="majorBidi"/>
                <w:color w:val="000000"/>
                <w:sz w:val="24"/>
                <w:szCs w:val="24"/>
              </w:rPr>
              <w:t>a</w:t>
            </w:r>
            <w:r w:rsidRPr="00BF265E">
              <w:rPr>
                <w:rFonts w:asciiTheme="majorBidi" w:eastAsia="Times New Roman" w:hAnsiTheme="majorBidi" w:cstheme="majorBidi"/>
                <w:color w:val="000000"/>
                <w:sz w:val="24"/>
                <w:szCs w:val="24"/>
              </w:rPr>
              <w:t xml:space="preserve"> motor molecule </w:t>
            </w:r>
            <w:r w:rsidR="00DF1B1D" w:rsidRPr="00BF265E">
              <w:rPr>
                <w:rFonts w:asciiTheme="majorBidi" w:eastAsia="Times New Roman" w:hAnsiTheme="majorBidi" w:cstheme="majorBidi"/>
                <w:color w:val="000000"/>
                <w:sz w:val="24"/>
                <w:szCs w:val="24"/>
              </w:rPr>
              <w:t>which</w:t>
            </w:r>
            <w:r w:rsidRPr="00BF265E">
              <w:rPr>
                <w:rFonts w:asciiTheme="majorBidi" w:eastAsia="Times New Roman" w:hAnsiTheme="majorBidi" w:cstheme="majorBidi"/>
                <w:color w:val="000000"/>
                <w:sz w:val="24"/>
                <w:szCs w:val="24"/>
              </w:rPr>
              <w:t xml:space="preserve"> move</w:t>
            </w:r>
            <w:r w:rsidR="00DF1B1D" w:rsidRPr="00BF265E">
              <w:rPr>
                <w:rFonts w:asciiTheme="majorBidi" w:eastAsia="Times New Roman" w:hAnsiTheme="majorBidi" w:cstheme="majorBidi"/>
                <w:color w:val="000000"/>
                <w:sz w:val="24"/>
                <w:szCs w:val="24"/>
              </w:rPr>
              <w:t>s</w:t>
            </w:r>
            <w:r w:rsidRPr="00BF265E">
              <w:rPr>
                <w:rFonts w:asciiTheme="majorBidi" w:eastAsia="Times New Roman" w:hAnsiTheme="majorBidi" w:cstheme="majorBidi"/>
                <w:color w:val="000000"/>
                <w:sz w:val="24"/>
                <w:szCs w:val="24"/>
              </w:rPr>
              <w:t xml:space="preserve"> along actin filaments. </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NCF2</w:t>
            </w:r>
          </w:p>
        </w:tc>
        <w:tc>
          <w:tcPr>
            <w:tcW w:w="2962" w:type="dxa"/>
          </w:tcPr>
          <w:p w:rsidR="00EC5255" w:rsidRPr="00BF265E" w:rsidRDefault="00EC5255" w:rsidP="00DF1B1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Neutrophil  cytosolic factor 2</w:t>
            </w:r>
          </w:p>
        </w:tc>
        <w:tc>
          <w:tcPr>
            <w:tcW w:w="9639"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sz w:val="24"/>
                <w:szCs w:val="24"/>
              </w:rPr>
              <w:t>NCF2</w:t>
            </w:r>
            <w:r w:rsidRPr="00BF265E">
              <w:rPr>
                <w:rFonts w:asciiTheme="majorBidi" w:eastAsia="Times New Roman" w:hAnsiTheme="majorBidi" w:cstheme="majorBidi"/>
                <w:color w:val="000000"/>
                <w:sz w:val="24"/>
                <w:szCs w:val="24"/>
              </w:rPr>
              <w:t xml:space="preserve"> is a component of the NADPH oxidase complex.</w:t>
            </w:r>
            <w:r w:rsidRPr="00BF265E">
              <w:rPr>
                <w:rFonts w:asciiTheme="majorBidi" w:hAnsiTheme="majorBidi" w:cstheme="majorBidi"/>
                <w:color w:val="000000"/>
                <w:sz w:val="24"/>
                <w:szCs w:val="24"/>
                <w:shd w:val="clear" w:color="auto" w:fill="FFFFFF"/>
              </w:rPr>
              <w:t xml:space="preserve"> </w:t>
            </w:r>
            <w:r w:rsidRPr="00BF265E">
              <w:rPr>
                <w:rFonts w:asciiTheme="majorBidi" w:eastAsia="Times New Roman" w:hAnsiTheme="majorBidi" w:cstheme="majorBidi"/>
                <w:color w:val="000000"/>
                <w:sz w:val="24"/>
                <w:szCs w:val="24"/>
              </w:rPr>
              <w:t>NADPH oxidase is a membrane-bound enzyme complex that faces the extracellular space. It can be found in the plasma membrane as well as in the membranes of phagosomes used by neutrophil white blood cells to engulf microorganisms.</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NRL</w:t>
            </w:r>
          </w:p>
        </w:tc>
        <w:tc>
          <w:tcPr>
            <w:tcW w:w="2962" w:type="dxa"/>
          </w:tcPr>
          <w:p w:rsidR="00EC5255" w:rsidRPr="00BF265E" w:rsidRDefault="00EC5255" w:rsidP="00DF1B1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Neural retina Leucine zipper </w:t>
            </w:r>
          </w:p>
        </w:tc>
        <w:tc>
          <w:tcPr>
            <w:tcW w:w="9639"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sz w:val="24"/>
                <w:szCs w:val="24"/>
              </w:rPr>
              <w:t>NRL</w:t>
            </w:r>
            <w:r w:rsidRPr="00BF265E">
              <w:rPr>
                <w:rFonts w:asciiTheme="majorBidi" w:eastAsia="Times New Roman" w:hAnsiTheme="majorBidi" w:cstheme="majorBidi"/>
                <w:color w:val="000000"/>
                <w:sz w:val="24"/>
                <w:szCs w:val="24"/>
              </w:rPr>
              <w:t xml:space="preserve"> is a basic motif-</w:t>
            </w:r>
            <w:proofErr w:type="spellStart"/>
            <w:r w:rsidRPr="00BF265E">
              <w:rPr>
                <w:rFonts w:asciiTheme="majorBidi" w:eastAsia="Times New Roman" w:hAnsiTheme="majorBidi" w:cstheme="majorBidi"/>
                <w:color w:val="000000"/>
                <w:sz w:val="24"/>
                <w:szCs w:val="24"/>
              </w:rPr>
              <w:t>leucine</w:t>
            </w:r>
            <w:proofErr w:type="spellEnd"/>
            <w:r w:rsidRPr="00BF265E">
              <w:rPr>
                <w:rFonts w:asciiTheme="majorBidi" w:eastAsia="Times New Roman" w:hAnsiTheme="majorBidi" w:cstheme="majorBidi"/>
                <w:color w:val="000000"/>
                <w:sz w:val="24"/>
                <w:szCs w:val="24"/>
              </w:rPr>
              <w:t xml:space="preserve"> zipper (</w:t>
            </w:r>
            <w:proofErr w:type="spellStart"/>
            <w:r w:rsidRPr="00BF265E">
              <w:rPr>
                <w:rFonts w:asciiTheme="majorBidi" w:eastAsia="Times New Roman" w:hAnsiTheme="majorBidi" w:cstheme="majorBidi"/>
                <w:color w:val="000000"/>
                <w:sz w:val="24"/>
                <w:szCs w:val="24"/>
              </w:rPr>
              <w:t>bZIP</w:t>
            </w:r>
            <w:proofErr w:type="spellEnd"/>
            <w:r w:rsidRPr="00BF265E">
              <w:rPr>
                <w:rFonts w:asciiTheme="majorBidi" w:eastAsia="Times New Roman" w:hAnsiTheme="majorBidi" w:cstheme="majorBidi"/>
                <w:color w:val="000000"/>
                <w:sz w:val="24"/>
                <w:szCs w:val="24"/>
              </w:rPr>
              <w:t xml:space="preserve">) transcription factor of the </w:t>
            </w:r>
            <w:proofErr w:type="spellStart"/>
            <w:r w:rsidRPr="00BF265E">
              <w:rPr>
                <w:rFonts w:asciiTheme="majorBidi" w:eastAsia="Times New Roman" w:hAnsiTheme="majorBidi" w:cstheme="majorBidi"/>
                <w:color w:val="000000"/>
                <w:sz w:val="24"/>
                <w:szCs w:val="24"/>
              </w:rPr>
              <w:t>Maf</w:t>
            </w:r>
            <w:proofErr w:type="spellEnd"/>
            <w:r w:rsidRPr="00BF265E">
              <w:rPr>
                <w:rFonts w:asciiTheme="majorBidi" w:eastAsia="Times New Roman" w:hAnsiTheme="majorBidi" w:cstheme="majorBidi"/>
                <w:color w:val="000000"/>
                <w:sz w:val="24"/>
                <w:szCs w:val="24"/>
              </w:rPr>
              <w:t>- subfamily. This is a phosphorylated protein that is specifically expressed in rod photoreceptors and pineal gland, but not in cones or other cell types.</w:t>
            </w:r>
            <w:r w:rsidR="00BF265E" w:rsidRPr="00BF265E">
              <w:rPr>
                <w:rFonts w:asciiTheme="majorBidi" w:eastAsia="Times New Roman" w:hAnsiTheme="majorBidi" w:cstheme="majorBidi"/>
                <w:color w:val="000000"/>
                <w:sz w:val="24"/>
                <w:szCs w:val="24"/>
              </w:rPr>
              <w:t xml:space="preserve"> </w:t>
            </w:r>
            <w:r w:rsidRPr="00BF265E">
              <w:rPr>
                <w:rFonts w:asciiTheme="majorBidi" w:eastAsia="Times New Roman" w:hAnsiTheme="majorBidi" w:cstheme="majorBidi"/>
                <w:sz w:val="24"/>
                <w:szCs w:val="24"/>
              </w:rPr>
              <w:t>NRL</w:t>
            </w:r>
            <w:r w:rsidR="00BF265E" w:rsidRPr="00BF265E">
              <w:rPr>
                <w:rFonts w:asciiTheme="majorBidi" w:eastAsia="Times New Roman" w:hAnsiTheme="majorBidi" w:cstheme="majorBidi"/>
                <w:sz w:val="24"/>
                <w:szCs w:val="24"/>
              </w:rPr>
              <w:t xml:space="preserve"> </w:t>
            </w:r>
            <w:r w:rsidRPr="00BF265E">
              <w:rPr>
                <w:rFonts w:asciiTheme="majorBidi" w:eastAsia="Times New Roman" w:hAnsiTheme="majorBidi" w:cstheme="majorBidi"/>
                <w:color w:val="000000"/>
                <w:sz w:val="24"/>
                <w:szCs w:val="24"/>
              </w:rPr>
              <w:t>is required for rod photoreceptor differentiation during retinal development.</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OTX2</w:t>
            </w:r>
          </w:p>
        </w:tc>
        <w:tc>
          <w:tcPr>
            <w:tcW w:w="2962"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Orthodenticle, Drosophila, homolog of, 2</w:t>
            </w:r>
          </w:p>
        </w:tc>
        <w:tc>
          <w:tcPr>
            <w:tcW w:w="9639"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OTX2 is a homeobox family gene related to a Drosophila gene expressed in the developing head.</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PABPN1</w:t>
            </w:r>
          </w:p>
        </w:tc>
        <w:tc>
          <w:tcPr>
            <w:tcW w:w="2962"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Polyadenylate- binding protein, nuclear, 1</w:t>
            </w:r>
          </w:p>
        </w:tc>
        <w:tc>
          <w:tcPr>
            <w:tcW w:w="9639" w:type="dxa"/>
          </w:tcPr>
          <w:p w:rsidR="00EC5255" w:rsidRPr="00BF265E" w:rsidRDefault="00BF265E" w:rsidP="0057278D">
            <w:pPr>
              <w:shd w:val="clear" w:color="auto" w:fill="FFFFFF"/>
              <w:bidi w:val="0"/>
              <w:spacing w:before="143" w:after="71"/>
              <w:outlineLvl w:val="2"/>
              <w:rPr>
                <w:rFonts w:asciiTheme="majorBidi" w:eastAsia="Times New Roman" w:hAnsiTheme="majorBidi" w:cstheme="majorBidi"/>
                <w:sz w:val="24"/>
                <w:szCs w:val="24"/>
              </w:rPr>
            </w:pPr>
            <w:r w:rsidRPr="00587749">
              <w:rPr>
                <w:rStyle w:val="mim-highlighted"/>
                <w:rFonts w:asciiTheme="majorBidi" w:hAnsiTheme="majorBidi" w:cstheme="majorBidi"/>
                <w:sz w:val="24"/>
                <w:szCs w:val="24"/>
              </w:rPr>
              <w:t xml:space="preserve">PABPN1 participates </w:t>
            </w:r>
            <w:r w:rsidRPr="00587749">
              <w:rPr>
                <w:rFonts w:asciiTheme="majorBidi" w:hAnsiTheme="majorBidi" w:cstheme="majorBidi"/>
                <w:sz w:val="24"/>
                <w:szCs w:val="24"/>
              </w:rPr>
              <w:t xml:space="preserve">in polyadenylation control </w:t>
            </w:r>
            <w:proofErr w:type="gramStart"/>
            <w:r w:rsidRPr="00587749">
              <w:rPr>
                <w:rFonts w:asciiTheme="majorBidi" w:hAnsiTheme="majorBidi" w:cstheme="majorBidi"/>
                <w:sz w:val="24"/>
                <w:szCs w:val="24"/>
              </w:rPr>
              <w:t>in a mammalian cells</w:t>
            </w:r>
            <w:proofErr w:type="gramEnd"/>
            <w:r w:rsidRPr="00587749">
              <w:rPr>
                <w:rFonts w:asciiTheme="majorBidi" w:hAnsiTheme="majorBidi" w:cstheme="majorBidi"/>
                <w:sz w:val="24"/>
                <w:szCs w:val="24"/>
              </w:rPr>
              <w:t xml:space="preserve">. </w:t>
            </w:r>
            <w:r w:rsidRPr="00587749">
              <w:rPr>
                <w:rStyle w:val="mim-highlighted"/>
                <w:rFonts w:asciiTheme="majorBidi" w:hAnsiTheme="majorBidi" w:cstheme="majorBidi"/>
                <w:sz w:val="24"/>
                <w:szCs w:val="24"/>
              </w:rPr>
              <w:t xml:space="preserve">It </w:t>
            </w:r>
            <w:r w:rsidRPr="00587749">
              <w:rPr>
                <w:rFonts w:asciiTheme="majorBidi" w:hAnsiTheme="majorBidi" w:cstheme="majorBidi"/>
                <w:sz w:val="24"/>
                <w:szCs w:val="24"/>
              </w:rPr>
              <w:t>plays an essential role in myoblast proliferation and differentiation</w:t>
            </w:r>
            <w:r w:rsidR="00EC5255" w:rsidRPr="00BF265E">
              <w:rPr>
                <w:rFonts w:asciiTheme="majorBidi" w:eastAsia="Times New Roman" w:hAnsiTheme="majorBidi" w:cstheme="majorBidi"/>
                <w:sz w:val="24"/>
                <w:szCs w:val="24"/>
              </w:rPr>
              <w:t>.</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PDE6B</w:t>
            </w:r>
          </w:p>
        </w:tc>
        <w:tc>
          <w:tcPr>
            <w:tcW w:w="2962" w:type="dxa"/>
          </w:tcPr>
          <w:p w:rsidR="00EC5255" w:rsidRPr="00BF265E" w:rsidRDefault="00EC5255" w:rsidP="00BF265E">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Phosphodiesterase 6B, cGMP-specific, rod, beta</w:t>
            </w:r>
          </w:p>
        </w:tc>
        <w:tc>
          <w:tcPr>
            <w:tcW w:w="9639"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Rod PDE is a peripheral membrane heterotrimeric enzyme made up of alpha (PDE6A), beta (</w:t>
            </w:r>
            <w:r w:rsidRPr="00BF265E">
              <w:rPr>
                <w:rFonts w:asciiTheme="majorBidi" w:eastAsia="Times New Roman" w:hAnsiTheme="majorBidi" w:cstheme="majorBidi"/>
                <w:sz w:val="24"/>
                <w:szCs w:val="24"/>
              </w:rPr>
              <w:t>PDE6B</w:t>
            </w:r>
            <w:r w:rsidRPr="00BF265E">
              <w:rPr>
                <w:rFonts w:asciiTheme="majorBidi" w:eastAsia="Times New Roman" w:hAnsiTheme="majorBidi" w:cstheme="majorBidi"/>
                <w:color w:val="000000"/>
                <w:sz w:val="24"/>
                <w:szCs w:val="24"/>
              </w:rPr>
              <w:t>), and gamma (PDE6G) subunits. The protein functions in the phototransduction cascade.</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PRPF31</w:t>
            </w:r>
          </w:p>
        </w:tc>
        <w:tc>
          <w:tcPr>
            <w:tcW w:w="2962"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Precursor mRNA-processing factor 31 </w:t>
            </w:r>
          </w:p>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p>
        </w:tc>
        <w:tc>
          <w:tcPr>
            <w:tcW w:w="9639"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sz w:val="24"/>
                <w:szCs w:val="24"/>
              </w:rPr>
              <w:t>PRPF31</w:t>
            </w:r>
            <w:r w:rsidRPr="00BF265E">
              <w:rPr>
                <w:rFonts w:asciiTheme="majorBidi" w:eastAsia="Times New Roman" w:hAnsiTheme="majorBidi" w:cstheme="majorBidi"/>
                <w:color w:val="000000"/>
                <w:sz w:val="24"/>
                <w:szCs w:val="24"/>
              </w:rPr>
              <w:t> is a component of the spliceosome complex</w:t>
            </w:r>
            <w:r w:rsidRPr="00BF265E">
              <w:rPr>
                <w:rFonts w:asciiTheme="majorBidi" w:eastAsia="Times New Roman" w:hAnsiTheme="majorBidi" w:cstheme="majorBidi"/>
                <w:sz w:val="24"/>
                <w:szCs w:val="24"/>
              </w:rPr>
              <w:t>.  PRPF31</w:t>
            </w:r>
            <w:r w:rsidRPr="00BF265E">
              <w:rPr>
                <w:rFonts w:asciiTheme="majorBidi" w:eastAsia="Times New Roman" w:hAnsiTheme="majorBidi" w:cstheme="majorBidi"/>
                <w:color w:val="000000"/>
                <w:sz w:val="24"/>
                <w:szCs w:val="24"/>
              </w:rPr>
              <w:t xml:space="preserve"> is crucial for the transition of the </w:t>
            </w:r>
            <w:proofErr w:type="spellStart"/>
            <w:r w:rsidRPr="00BF265E">
              <w:rPr>
                <w:rFonts w:asciiTheme="majorBidi" w:eastAsia="Times New Roman" w:hAnsiTheme="majorBidi" w:cstheme="majorBidi"/>
                <w:color w:val="000000"/>
                <w:sz w:val="24"/>
                <w:szCs w:val="24"/>
              </w:rPr>
              <w:t>spliceosomal</w:t>
            </w:r>
            <w:proofErr w:type="spellEnd"/>
            <w:r w:rsidRPr="00BF265E">
              <w:rPr>
                <w:rFonts w:asciiTheme="majorBidi" w:eastAsia="Times New Roman" w:hAnsiTheme="majorBidi" w:cstheme="majorBidi"/>
                <w:color w:val="000000"/>
                <w:sz w:val="24"/>
                <w:szCs w:val="24"/>
              </w:rPr>
              <w:t xml:space="preserve"> complex to the activated state.</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RDH12</w:t>
            </w:r>
          </w:p>
        </w:tc>
        <w:tc>
          <w:tcPr>
            <w:tcW w:w="2962" w:type="dxa"/>
          </w:tcPr>
          <w:p w:rsidR="00EC5255" w:rsidRPr="00BF265E" w:rsidRDefault="00EC5255" w:rsidP="00BF265E">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Retinol dehydrogenase 12</w:t>
            </w:r>
          </w:p>
        </w:tc>
        <w:tc>
          <w:tcPr>
            <w:tcW w:w="9639"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RDH12 belongs to a family of dual-specificity retinol dehydrogenases that metabolize both all-trans- and cis-retinols.</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lastRenderedPageBreak/>
              <w:t>RPGR</w:t>
            </w:r>
          </w:p>
        </w:tc>
        <w:tc>
          <w:tcPr>
            <w:tcW w:w="2962"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Retinitis pigmentosa GTPase regulator</w:t>
            </w:r>
          </w:p>
        </w:tc>
        <w:tc>
          <w:tcPr>
            <w:tcW w:w="9639"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tl/>
              </w:rPr>
            </w:pPr>
            <w:r w:rsidRPr="00BF265E">
              <w:rPr>
                <w:rFonts w:asciiTheme="majorBidi" w:eastAsia="Times New Roman" w:hAnsiTheme="majorBidi" w:cstheme="majorBidi"/>
                <w:color w:val="000000"/>
                <w:sz w:val="24"/>
                <w:szCs w:val="24"/>
              </w:rPr>
              <w:t>RPGR can be found in the outer segment of cone and rod photoreceptors and it is essential for the maintenance of photoreceptor viability. It interacts predominantly with the GDP-bound form of RAB8A and stimulates GDP/GTP exchange.</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STRC</w:t>
            </w:r>
          </w:p>
        </w:tc>
        <w:tc>
          <w:tcPr>
            <w:tcW w:w="2962" w:type="dxa"/>
          </w:tcPr>
          <w:p w:rsidR="00EC5255" w:rsidRPr="00BF265E" w:rsidRDefault="00EC5255" w:rsidP="008A0C67">
            <w:pPr>
              <w:shd w:val="clear" w:color="auto" w:fill="FFFFFF"/>
              <w:bidi w:val="0"/>
              <w:spacing w:before="143" w:after="71"/>
              <w:outlineLvl w:val="2"/>
              <w:rPr>
                <w:rFonts w:asciiTheme="majorBidi" w:eastAsia="Times New Roman" w:hAnsiTheme="majorBidi" w:cstheme="majorBidi"/>
                <w:color w:val="000000"/>
                <w:sz w:val="24"/>
                <w:szCs w:val="24"/>
              </w:rPr>
            </w:pPr>
            <w:proofErr w:type="spellStart"/>
            <w:r w:rsidRPr="00BF265E">
              <w:rPr>
                <w:rFonts w:asciiTheme="majorBidi" w:eastAsia="Times New Roman" w:hAnsiTheme="majorBidi" w:cstheme="majorBidi"/>
                <w:color w:val="000000"/>
                <w:sz w:val="24"/>
                <w:szCs w:val="24"/>
              </w:rPr>
              <w:t>Stereocilin</w:t>
            </w:r>
            <w:proofErr w:type="spellEnd"/>
          </w:p>
        </w:tc>
        <w:tc>
          <w:tcPr>
            <w:tcW w:w="9639"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This is a large extracellular structural protein found in the stereocilia of outer hair cells in the inner ear. It is associated with horizontal top connectors and the tectorial membrane attachment crowns that are important for proper cohesion and positioning of the </w:t>
            </w:r>
            <w:proofErr w:type="spellStart"/>
            <w:r w:rsidRPr="00BF265E">
              <w:rPr>
                <w:rFonts w:asciiTheme="majorBidi" w:eastAsia="Times New Roman" w:hAnsiTheme="majorBidi" w:cstheme="majorBidi"/>
                <w:color w:val="000000"/>
                <w:sz w:val="24"/>
                <w:szCs w:val="24"/>
              </w:rPr>
              <w:t>stereociliary</w:t>
            </w:r>
            <w:proofErr w:type="spellEnd"/>
            <w:r w:rsidRPr="00BF265E">
              <w:rPr>
                <w:rFonts w:asciiTheme="majorBidi" w:eastAsia="Times New Roman" w:hAnsiTheme="majorBidi" w:cstheme="majorBidi"/>
                <w:color w:val="000000"/>
                <w:sz w:val="24"/>
                <w:szCs w:val="24"/>
              </w:rPr>
              <w:t xml:space="preserve"> tips.</w:t>
            </w:r>
          </w:p>
        </w:tc>
      </w:tr>
      <w:tr w:rsidR="00EC5255" w:rsidRPr="00BF265E" w:rsidTr="002A3380">
        <w:tc>
          <w:tcPr>
            <w:tcW w:w="1257" w:type="dxa"/>
          </w:tcPr>
          <w:p w:rsidR="00EC5255" w:rsidRPr="00BF265E" w:rsidRDefault="00EC5255" w:rsidP="00676782">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TJP2</w:t>
            </w:r>
          </w:p>
        </w:tc>
        <w:tc>
          <w:tcPr>
            <w:tcW w:w="2962" w:type="dxa"/>
          </w:tcPr>
          <w:p w:rsidR="00EC5255" w:rsidRPr="00BF265E" w:rsidRDefault="00EC5255" w:rsidP="008A0C67">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Tight junction protein 2</w:t>
            </w:r>
            <w:bookmarkStart w:id="0" w:name="_GoBack"/>
            <w:bookmarkEnd w:id="0"/>
          </w:p>
        </w:tc>
        <w:tc>
          <w:tcPr>
            <w:tcW w:w="9639" w:type="dxa"/>
          </w:tcPr>
          <w:p w:rsidR="00EC5255" w:rsidRPr="00BF265E" w:rsidRDefault="00EC5255" w:rsidP="00676782">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sz w:val="24"/>
                <w:szCs w:val="24"/>
              </w:rPr>
              <w:t>TJP2</w:t>
            </w:r>
            <w:r w:rsidRPr="00BF265E">
              <w:rPr>
                <w:rFonts w:asciiTheme="majorBidi" w:eastAsia="Times New Roman" w:hAnsiTheme="majorBidi" w:cstheme="majorBidi"/>
                <w:color w:val="000000"/>
                <w:sz w:val="24"/>
                <w:szCs w:val="24"/>
              </w:rPr>
              <w:t> gene encodes tight junction protein-2, which belongs to a family of membrane-associated guanylate kinase (MAGUK) homologs involved in the organization of epithelial and endothelial intercellular junctions.</w:t>
            </w:r>
          </w:p>
        </w:tc>
      </w:tr>
      <w:tr w:rsidR="00EC5255" w:rsidRPr="00BF265E" w:rsidTr="002A3380">
        <w:tc>
          <w:tcPr>
            <w:tcW w:w="1257"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i/>
                <w:iCs/>
                <w:color w:val="000000"/>
                <w:sz w:val="24"/>
                <w:szCs w:val="24"/>
              </w:rPr>
            </w:pPr>
            <w:r w:rsidRPr="00BF265E">
              <w:rPr>
                <w:rFonts w:asciiTheme="majorBidi" w:eastAsia="Times New Roman" w:hAnsiTheme="majorBidi" w:cstheme="majorBidi"/>
                <w:i/>
                <w:iCs/>
                <w:color w:val="000000"/>
                <w:sz w:val="24"/>
                <w:szCs w:val="24"/>
              </w:rPr>
              <w:t>TMC1</w:t>
            </w:r>
          </w:p>
        </w:tc>
        <w:tc>
          <w:tcPr>
            <w:tcW w:w="2962"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Transmembrane channel-like protein 1 </w:t>
            </w:r>
          </w:p>
        </w:tc>
        <w:tc>
          <w:tcPr>
            <w:tcW w:w="9639" w:type="dxa"/>
          </w:tcPr>
          <w:p w:rsidR="00EC5255" w:rsidRPr="00BF265E" w:rsidRDefault="00EC5255" w:rsidP="0057278D">
            <w:pPr>
              <w:shd w:val="clear" w:color="auto" w:fill="FFFFFF"/>
              <w:bidi w:val="0"/>
              <w:spacing w:before="143" w:after="71"/>
              <w:outlineLvl w:val="2"/>
              <w:rPr>
                <w:rFonts w:asciiTheme="majorBidi" w:eastAsia="Times New Roman" w:hAnsiTheme="majorBidi" w:cstheme="majorBidi"/>
                <w:color w:val="000000"/>
                <w:sz w:val="24"/>
                <w:szCs w:val="24"/>
              </w:rPr>
            </w:pPr>
            <w:r w:rsidRPr="00BF265E">
              <w:rPr>
                <w:rFonts w:asciiTheme="majorBidi" w:eastAsia="Times New Roman" w:hAnsiTheme="majorBidi" w:cstheme="majorBidi"/>
                <w:color w:val="000000"/>
                <w:sz w:val="24"/>
                <w:szCs w:val="24"/>
              </w:rPr>
              <w:t xml:space="preserve">This is a 6-pass integral membrane protein, it is a component of </w:t>
            </w:r>
            <w:proofErr w:type="spellStart"/>
            <w:r w:rsidRPr="00BF265E">
              <w:rPr>
                <w:rFonts w:asciiTheme="majorBidi" w:eastAsia="Times New Roman" w:hAnsiTheme="majorBidi" w:cstheme="majorBidi"/>
                <w:color w:val="000000"/>
                <w:sz w:val="24"/>
                <w:szCs w:val="24"/>
              </w:rPr>
              <w:t>mechanotransduction</w:t>
            </w:r>
            <w:proofErr w:type="spellEnd"/>
            <w:r w:rsidRPr="00BF265E">
              <w:rPr>
                <w:rFonts w:asciiTheme="majorBidi" w:eastAsia="Times New Roman" w:hAnsiTheme="majorBidi" w:cstheme="majorBidi"/>
                <w:color w:val="000000"/>
                <w:sz w:val="24"/>
                <w:szCs w:val="24"/>
              </w:rPr>
              <w:t xml:space="preserve"> channels in hair cells of inner ear.</w:t>
            </w:r>
          </w:p>
        </w:tc>
      </w:tr>
    </w:tbl>
    <w:p w:rsidR="00791790" w:rsidRPr="00BF265E" w:rsidRDefault="00791790" w:rsidP="00BF265E">
      <w:pPr>
        <w:bidi w:val="0"/>
        <w:rPr>
          <w:rFonts w:asciiTheme="majorBidi" w:hAnsiTheme="majorBidi" w:cstheme="majorBidi"/>
          <w:sz w:val="24"/>
          <w:szCs w:val="24"/>
        </w:rPr>
      </w:pPr>
    </w:p>
    <w:sectPr w:rsidR="00791790" w:rsidRPr="00BF265E" w:rsidSect="00676782">
      <w:pgSz w:w="16838" w:h="11906" w:orient="landscape"/>
      <w:pgMar w:top="1800" w:right="1440" w:bottom="180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drawingGridHorizontalSpacing w:val="110"/>
  <w:displayHorizontalDrawingGridEvery w:val="2"/>
  <w:characterSpacingControl w:val="doNotCompress"/>
  <w:compat/>
  <w:rsids>
    <w:rsidRoot w:val="00791790"/>
    <w:rsid w:val="000678FD"/>
    <w:rsid w:val="000C3C51"/>
    <w:rsid w:val="002A3380"/>
    <w:rsid w:val="002C6674"/>
    <w:rsid w:val="00452F9C"/>
    <w:rsid w:val="00587749"/>
    <w:rsid w:val="00612D4E"/>
    <w:rsid w:val="00676782"/>
    <w:rsid w:val="00791790"/>
    <w:rsid w:val="008A0C67"/>
    <w:rsid w:val="00A20E5A"/>
    <w:rsid w:val="00A25548"/>
    <w:rsid w:val="00A562EE"/>
    <w:rsid w:val="00B36C90"/>
    <w:rsid w:val="00BF265E"/>
    <w:rsid w:val="00C9200D"/>
    <w:rsid w:val="00DF1B1D"/>
    <w:rsid w:val="00EC5255"/>
    <w:rsid w:val="00F41E1F"/>
    <w:rsid w:val="00F71E34"/>
    <w:rsid w:val="00FF64B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EE"/>
    <w:pPr>
      <w:bidi/>
    </w:pPr>
  </w:style>
  <w:style w:type="paragraph" w:styleId="3">
    <w:name w:val="heading 3"/>
    <w:basedOn w:val="a"/>
    <w:link w:val="30"/>
    <w:uiPriority w:val="9"/>
    <w:qFormat/>
    <w:rsid w:val="0079179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basedOn w:val="a0"/>
    <w:link w:val="3"/>
    <w:uiPriority w:val="9"/>
    <w:rsid w:val="00791790"/>
    <w:rPr>
      <w:rFonts w:ascii="Times New Roman" w:eastAsia="Times New Roman" w:hAnsi="Times New Roman" w:cs="Times New Roman"/>
      <w:b/>
      <w:bCs/>
      <w:sz w:val="27"/>
      <w:szCs w:val="27"/>
    </w:rPr>
  </w:style>
  <w:style w:type="character" w:customStyle="1" w:styleId="mim-font">
    <w:name w:val="mim-font"/>
    <w:basedOn w:val="a0"/>
    <w:rsid w:val="00791790"/>
  </w:style>
  <w:style w:type="character" w:customStyle="1" w:styleId="mim-text-font">
    <w:name w:val="mim-text-font"/>
    <w:basedOn w:val="a0"/>
    <w:rsid w:val="00791790"/>
  </w:style>
  <w:style w:type="character" w:customStyle="1" w:styleId="mim-highlighted">
    <w:name w:val="mim-highlighted"/>
    <w:basedOn w:val="a0"/>
    <w:rsid w:val="000C3C51"/>
  </w:style>
  <w:style w:type="character" w:styleId="Hyperlink">
    <w:name w:val="Hyperlink"/>
    <w:basedOn w:val="a0"/>
    <w:uiPriority w:val="99"/>
    <w:semiHidden/>
    <w:unhideWhenUsed/>
    <w:rsid w:val="00676782"/>
    <w:rPr>
      <w:color w:val="0000FF"/>
      <w:u w:val="single"/>
    </w:rPr>
  </w:style>
</w:styles>
</file>

<file path=word/webSettings.xml><?xml version="1.0" encoding="utf-8"?>
<w:webSettings xmlns:r="http://schemas.openxmlformats.org/officeDocument/2006/relationships" xmlns:w="http://schemas.openxmlformats.org/wordprocessingml/2006/main">
  <w:divs>
    <w:div w:id="59014562">
      <w:bodyDiv w:val="1"/>
      <w:marLeft w:val="0"/>
      <w:marRight w:val="0"/>
      <w:marTop w:val="0"/>
      <w:marBottom w:val="0"/>
      <w:divBdr>
        <w:top w:val="none" w:sz="0" w:space="0" w:color="auto"/>
        <w:left w:val="none" w:sz="0" w:space="0" w:color="auto"/>
        <w:bottom w:val="none" w:sz="0" w:space="0" w:color="auto"/>
        <w:right w:val="none" w:sz="0" w:space="0" w:color="auto"/>
      </w:divBdr>
    </w:div>
    <w:div w:id="246354623">
      <w:bodyDiv w:val="1"/>
      <w:marLeft w:val="0"/>
      <w:marRight w:val="0"/>
      <w:marTop w:val="0"/>
      <w:marBottom w:val="0"/>
      <w:divBdr>
        <w:top w:val="none" w:sz="0" w:space="0" w:color="auto"/>
        <w:left w:val="none" w:sz="0" w:space="0" w:color="auto"/>
        <w:bottom w:val="none" w:sz="0" w:space="0" w:color="auto"/>
        <w:right w:val="none" w:sz="0" w:space="0" w:color="auto"/>
      </w:divBdr>
    </w:div>
    <w:div w:id="278529748">
      <w:bodyDiv w:val="1"/>
      <w:marLeft w:val="0"/>
      <w:marRight w:val="0"/>
      <w:marTop w:val="0"/>
      <w:marBottom w:val="0"/>
      <w:divBdr>
        <w:top w:val="none" w:sz="0" w:space="0" w:color="auto"/>
        <w:left w:val="none" w:sz="0" w:space="0" w:color="auto"/>
        <w:bottom w:val="none" w:sz="0" w:space="0" w:color="auto"/>
        <w:right w:val="none" w:sz="0" w:space="0" w:color="auto"/>
      </w:divBdr>
    </w:div>
    <w:div w:id="291137797">
      <w:bodyDiv w:val="1"/>
      <w:marLeft w:val="0"/>
      <w:marRight w:val="0"/>
      <w:marTop w:val="0"/>
      <w:marBottom w:val="0"/>
      <w:divBdr>
        <w:top w:val="none" w:sz="0" w:space="0" w:color="auto"/>
        <w:left w:val="none" w:sz="0" w:space="0" w:color="auto"/>
        <w:bottom w:val="none" w:sz="0" w:space="0" w:color="auto"/>
        <w:right w:val="none" w:sz="0" w:space="0" w:color="auto"/>
      </w:divBdr>
    </w:div>
    <w:div w:id="308171090">
      <w:bodyDiv w:val="1"/>
      <w:marLeft w:val="0"/>
      <w:marRight w:val="0"/>
      <w:marTop w:val="0"/>
      <w:marBottom w:val="0"/>
      <w:divBdr>
        <w:top w:val="none" w:sz="0" w:space="0" w:color="auto"/>
        <w:left w:val="none" w:sz="0" w:space="0" w:color="auto"/>
        <w:bottom w:val="none" w:sz="0" w:space="0" w:color="auto"/>
        <w:right w:val="none" w:sz="0" w:space="0" w:color="auto"/>
      </w:divBdr>
    </w:div>
    <w:div w:id="317224006">
      <w:bodyDiv w:val="1"/>
      <w:marLeft w:val="0"/>
      <w:marRight w:val="0"/>
      <w:marTop w:val="0"/>
      <w:marBottom w:val="0"/>
      <w:divBdr>
        <w:top w:val="none" w:sz="0" w:space="0" w:color="auto"/>
        <w:left w:val="none" w:sz="0" w:space="0" w:color="auto"/>
        <w:bottom w:val="none" w:sz="0" w:space="0" w:color="auto"/>
        <w:right w:val="none" w:sz="0" w:space="0" w:color="auto"/>
      </w:divBdr>
    </w:div>
    <w:div w:id="351879753">
      <w:bodyDiv w:val="1"/>
      <w:marLeft w:val="0"/>
      <w:marRight w:val="0"/>
      <w:marTop w:val="0"/>
      <w:marBottom w:val="0"/>
      <w:divBdr>
        <w:top w:val="none" w:sz="0" w:space="0" w:color="auto"/>
        <w:left w:val="none" w:sz="0" w:space="0" w:color="auto"/>
        <w:bottom w:val="none" w:sz="0" w:space="0" w:color="auto"/>
        <w:right w:val="none" w:sz="0" w:space="0" w:color="auto"/>
      </w:divBdr>
    </w:div>
    <w:div w:id="790788815">
      <w:bodyDiv w:val="1"/>
      <w:marLeft w:val="0"/>
      <w:marRight w:val="0"/>
      <w:marTop w:val="0"/>
      <w:marBottom w:val="0"/>
      <w:divBdr>
        <w:top w:val="none" w:sz="0" w:space="0" w:color="auto"/>
        <w:left w:val="none" w:sz="0" w:space="0" w:color="auto"/>
        <w:bottom w:val="none" w:sz="0" w:space="0" w:color="auto"/>
        <w:right w:val="none" w:sz="0" w:space="0" w:color="auto"/>
      </w:divBdr>
    </w:div>
    <w:div w:id="872301910">
      <w:bodyDiv w:val="1"/>
      <w:marLeft w:val="0"/>
      <w:marRight w:val="0"/>
      <w:marTop w:val="0"/>
      <w:marBottom w:val="0"/>
      <w:divBdr>
        <w:top w:val="none" w:sz="0" w:space="0" w:color="auto"/>
        <w:left w:val="none" w:sz="0" w:space="0" w:color="auto"/>
        <w:bottom w:val="none" w:sz="0" w:space="0" w:color="auto"/>
        <w:right w:val="none" w:sz="0" w:space="0" w:color="auto"/>
      </w:divBdr>
    </w:div>
    <w:div w:id="935820003">
      <w:bodyDiv w:val="1"/>
      <w:marLeft w:val="0"/>
      <w:marRight w:val="0"/>
      <w:marTop w:val="0"/>
      <w:marBottom w:val="0"/>
      <w:divBdr>
        <w:top w:val="none" w:sz="0" w:space="0" w:color="auto"/>
        <w:left w:val="none" w:sz="0" w:space="0" w:color="auto"/>
        <w:bottom w:val="none" w:sz="0" w:space="0" w:color="auto"/>
        <w:right w:val="none" w:sz="0" w:space="0" w:color="auto"/>
      </w:divBdr>
    </w:div>
    <w:div w:id="997880466">
      <w:bodyDiv w:val="1"/>
      <w:marLeft w:val="0"/>
      <w:marRight w:val="0"/>
      <w:marTop w:val="0"/>
      <w:marBottom w:val="0"/>
      <w:divBdr>
        <w:top w:val="none" w:sz="0" w:space="0" w:color="auto"/>
        <w:left w:val="none" w:sz="0" w:space="0" w:color="auto"/>
        <w:bottom w:val="none" w:sz="0" w:space="0" w:color="auto"/>
        <w:right w:val="none" w:sz="0" w:space="0" w:color="auto"/>
      </w:divBdr>
    </w:div>
    <w:div w:id="1121846406">
      <w:bodyDiv w:val="1"/>
      <w:marLeft w:val="0"/>
      <w:marRight w:val="0"/>
      <w:marTop w:val="0"/>
      <w:marBottom w:val="0"/>
      <w:divBdr>
        <w:top w:val="none" w:sz="0" w:space="0" w:color="auto"/>
        <w:left w:val="none" w:sz="0" w:space="0" w:color="auto"/>
        <w:bottom w:val="none" w:sz="0" w:space="0" w:color="auto"/>
        <w:right w:val="none" w:sz="0" w:space="0" w:color="auto"/>
      </w:divBdr>
    </w:div>
    <w:div w:id="1144198220">
      <w:bodyDiv w:val="1"/>
      <w:marLeft w:val="0"/>
      <w:marRight w:val="0"/>
      <w:marTop w:val="0"/>
      <w:marBottom w:val="0"/>
      <w:divBdr>
        <w:top w:val="none" w:sz="0" w:space="0" w:color="auto"/>
        <w:left w:val="none" w:sz="0" w:space="0" w:color="auto"/>
        <w:bottom w:val="none" w:sz="0" w:space="0" w:color="auto"/>
        <w:right w:val="none" w:sz="0" w:space="0" w:color="auto"/>
      </w:divBdr>
    </w:div>
    <w:div w:id="1156915431">
      <w:bodyDiv w:val="1"/>
      <w:marLeft w:val="0"/>
      <w:marRight w:val="0"/>
      <w:marTop w:val="0"/>
      <w:marBottom w:val="0"/>
      <w:divBdr>
        <w:top w:val="none" w:sz="0" w:space="0" w:color="auto"/>
        <w:left w:val="none" w:sz="0" w:space="0" w:color="auto"/>
        <w:bottom w:val="none" w:sz="0" w:space="0" w:color="auto"/>
        <w:right w:val="none" w:sz="0" w:space="0" w:color="auto"/>
      </w:divBdr>
    </w:div>
    <w:div w:id="1529945950">
      <w:bodyDiv w:val="1"/>
      <w:marLeft w:val="0"/>
      <w:marRight w:val="0"/>
      <w:marTop w:val="0"/>
      <w:marBottom w:val="0"/>
      <w:divBdr>
        <w:top w:val="none" w:sz="0" w:space="0" w:color="auto"/>
        <w:left w:val="none" w:sz="0" w:space="0" w:color="auto"/>
        <w:bottom w:val="none" w:sz="0" w:space="0" w:color="auto"/>
        <w:right w:val="none" w:sz="0" w:space="0" w:color="auto"/>
      </w:divBdr>
    </w:div>
    <w:div w:id="1548685098">
      <w:bodyDiv w:val="1"/>
      <w:marLeft w:val="0"/>
      <w:marRight w:val="0"/>
      <w:marTop w:val="0"/>
      <w:marBottom w:val="0"/>
      <w:divBdr>
        <w:top w:val="none" w:sz="0" w:space="0" w:color="auto"/>
        <w:left w:val="none" w:sz="0" w:space="0" w:color="auto"/>
        <w:bottom w:val="none" w:sz="0" w:space="0" w:color="auto"/>
        <w:right w:val="none" w:sz="0" w:space="0" w:color="auto"/>
      </w:divBdr>
    </w:div>
    <w:div w:id="1612199147">
      <w:bodyDiv w:val="1"/>
      <w:marLeft w:val="0"/>
      <w:marRight w:val="0"/>
      <w:marTop w:val="0"/>
      <w:marBottom w:val="0"/>
      <w:divBdr>
        <w:top w:val="none" w:sz="0" w:space="0" w:color="auto"/>
        <w:left w:val="none" w:sz="0" w:space="0" w:color="auto"/>
        <w:bottom w:val="none" w:sz="0" w:space="0" w:color="auto"/>
        <w:right w:val="none" w:sz="0" w:space="0" w:color="auto"/>
      </w:divBdr>
    </w:div>
    <w:div w:id="1913008781">
      <w:bodyDiv w:val="1"/>
      <w:marLeft w:val="0"/>
      <w:marRight w:val="0"/>
      <w:marTop w:val="0"/>
      <w:marBottom w:val="0"/>
      <w:divBdr>
        <w:top w:val="none" w:sz="0" w:space="0" w:color="auto"/>
        <w:left w:val="none" w:sz="0" w:space="0" w:color="auto"/>
        <w:bottom w:val="none" w:sz="0" w:space="0" w:color="auto"/>
        <w:right w:val="none" w:sz="0" w:space="0" w:color="auto"/>
      </w:divBdr>
    </w:div>
    <w:div w:id="209093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3832</Characters>
  <Application>Microsoft Office Word</Application>
  <DocSecurity>0</DocSecurity>
  <Lines>31</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Tby</dc:creator>
  <cp:lastModifiedBy>מירי</cp:lastModifiedBy>
  <cp:revision>2</cp:revision>
  <dcterms:created xsi:type="dcterms:W3CDTF">2019-08-05T17:58:00Z</dcterms:created>
  <dcterms:modified xsi:type="dcterms:W3CDTF">2019-08-05T17:58:00Z</dcterms:modified>
</cp:coreProperties>
</file>