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79" w:rsidRPr="008B7F94" w:rsidRDefault="00D03C79" w:rsidP="00D03C79">
      <w:pPr>
        <w:autoSpaceDE w:val="0"/>
        <w:autoSpaceDN w:val="0"/>
        <w:adjustRightInd w:val="0"/>
        <w:spacing w:line="276" w:lineRule="auto"/>
        <w:outlineLvl w:val="0"/>
        <w:rPr>
          <w:b/>
          <w:lang w:val="en-US"/>
        </w:rPr>
      </w:pPr>
      <w:r w:rsidRPr="008B7F94">
        <w:rPr>
          <w:b/>
          <w:lang w:val="en-US"/>
        </w:rPr>
        <w:t>APPENDIX</w:t>
      </w:r>
    </w:p>
    <w:p w:rsidR="00D03C79" w:rsidRPr="008B7F94" w:rsidRDefault="00D03C79" w:rsidP="00D03C79">
      <w:pPr>
        <w:autoSpaceDE w:val="0"/>
        <w:autoSpaceDN w:val="0"/>
        <w:adjustRightInd w:val="0"/>
        <w:spacing w:line="360" w:lineRule="auto"/>
        <w:rPr>
          <w:lang w:val="en-US"/>
        </w:rPr>
      </w:pPr>
    </w:p>
    <w:p w:rsidR="00D03C79" w:rsidRPr="008B7F94" w:rsidRDefault="00D03C79" w:rsidP="00D03C79">
      <w:pPr>
        <w:spacing w:line="360" w:lineRule="auto"/>
        <w:outlineLvl w:val="0"/>
        <w:rPr>
          <w:lang w:val="en-US"/>
        </w:rPr>
      </w:pPr>
      <w:r w:rsidRPr="008B7F94">
        <w:rPr>
          <w:i/>
          <w:lang w:val="en-US"/>
        </w:rPr>
        <w:t xml:space="preserve">Description of the mathematical model of the photoresponse: </w:t>
      </w:r>
      <w:r w:rsidRPr="008B7F94">
        <w:rPr>
          <w:lang w:val="en-US"/>
        </w:rPr>
        <w:t>All model equations, in various forms, were used in numerous previous works [</w:t>
      </w:r>
      <w:r w:rsidR="003A715B" w:rsidRPr="008B7F94">
        <w:rPr>
          <w:lang w:val="en-US"/>
        </w:rPr>
        <w:t>1-24</w:t>
      </w:r>
      <w:r w:rsidRPr="008B7F94">
        <w:rPr>
          <w:lang w:val="en-US"/>
        </w:rPr>
        <w:t>]. However, our treatment of some reactions differs slightly from that used before. Also, as said in the main text, we use a phenomenological description of each process omitting important but here unnecessary mechanistic details. Therefore we present the full set of equations comprising the model that we further call the Minimum Essential Model (MEM). The model treats the outer segment as a well-stirred volume.</w:t>
      </w:r>
      <w:r w:rsidR="00FD3060" w:rsidRPr="008B7F94">
        <w:rPr>
          <w:lang w:val="en-US"/>
        </w:rPr>
        <w:t xml:space="preserve"> Definition of model parameters is given in Table A1.</w:t>
      </w:r>
    </w:p>
    <w:p w:rsidR="00D03C79" w:rsidRPr="008B7F94" w:rsidRDefault="00D03C79" w:rsidP="00D03C79">
      <w:pPr>
        <w:spacing w:line="360" w:lineRule="auto"/>
        <w:ind w:firstLine="510"/>
        <w:rPr>
          <w:lang w:val="en-US"/>
        </w:rPr>
      </w:pPr>
      <w:r w:rsidRPr="008B7F94">
        <w:rPr>
          <w:lang w:val="en-US"/>
        </w:rPr>
        <w:t xml:space="preserve">We assume that the shut-off of photoactivated visual pigment, </w:t>
      </w:r>
      <w:r w:rsidRPr="008B7F94">
        <w:rPr>
          <w:i/>
          <w:lang w:val="en-US"/>
        </w:rPr>
        <w:t>R*</w:t>
      </w:r>
      <w:r w:rsidRPr="008B7F94">
        <w:rPr>
          <w:lang w:val="en-US"/>
        </w:rPr>
        <w:t xml:space="preserve">, is a two-step process. At the first step, fully active rhodopsin molecules, </w:t>
      </w:r>
      <w:r w:rsidRPr="008B7F94">
        <w:rPr>
          <w:i/>
          <w:iCs/>
          <w:lang w:val="en-US"/>
        </w:rPr>
        <w:t>R*</w:t>
      </w:r>
      <w:r w:rsidRPr="008B7F94">
        <w:rPr>
          <w:lang w:val="en-US"/>
        </w:rPr>
        <w:t>, are partially quenched by Ca</w:t>
      </w:r>
      <w:r w:rsidRPr="008B7F94">
        <w:rPr>
          <w:vertAlign w:val="superscript"/>
          <w:lang w:val="en-US"/>
        </w:rPr>
        <w:t>2+</w:t>
      </w:r>
      <w:r w:rsidRPr="008B7F94">
        <w:rPr>
          <w:lang w:val="en-US"/>
        </w:rPr>
        <w:t xml:space="preserve">-dependent phosphorylation with rhodopsin kinase: </w:t>
      </w:r>
    </w:p>
    <w:p w:rsidR="00D03C79" w:rsidRPr="008B7F94" w:rsidRDefault="00D03C79" w:rsidP="00D03C79">
      <w:pPr>
        <w:spacing w:line="360" w:lineRule="auto"/>
        <w:ind w:firstLine="510"/>
        <w:rPr>
          <w:position w:val="-24"/>
          <w:lang w:val="en-US"/>
        </w:rPr>
      </w:pPr>
      <w:r w:rsidRPr="008B7F94">
        <w:rPr>
          <w:position w:val="-26"/>
        </w:rPr>
        <w:object w:dxaOrig="3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pt;height:35pt" o:ole="">
            <v:imagedata r:id="rId7" o:title=""/>
          </v:shape>
          <o:OLEObject Type="Embed" ProgID="Equation.3" ShapeID="_x0000_i1025" DrawAspect="Content" ObjectID="_1487181789" r:id="rId8"/>
        </w:object>
      </w:r>
      <w:r w:rsidRPr="008B7F94">
        <w:rPr>
          <w:position w:val="-24"/>
          <w:lang w:val="en-US"/>
        </w:rPr>
        <w:tab/>
      </w:r>
      <w:r w:rsidRPr="008B7F94">
        <w:rPr>
          <w:position w:val="-24"/>
          <w:lang w:val="en-US"/>
        </w:rPr>
        <w:tab/>
      </w:r>
      <w:r w:rsidRPr="008B7F94">
        <w:rPr>
          <w:position w:val="-24"/>
          <w:lang w:val="en-US"/>
        </w:rPr>
        <w:tab/>
      </w:r>
      <w:r w:rsidRPr="008B7F94">
        <w:rPr>
          <w:position w:val="-24"/>
          <w:lang w:val="en-US"/>
        </w:rPr>
        <w:tab/>
      </w:r>
      <w:r w:rsidRPr="008B7F94">
        <w:rPr>
          <w:position w:val="-24"/>
          <w:lang w:val="en-US"/>
        </w:rPr>
        <w:tab/>
      </w:r>
      <w:r w:rsidRPr="008B7F94">
        <w:rPr>
          <w:position w:val="-24"/>
          <w:lang w:val="en-US"/>
        </w:rPr>
        <w:tab/>
        <w:t xml:space="preserve">(A1). </w:t>
      </w:r>
    </w:p>
    <w:p w:rsidR="00D03C79" w:rsidRPr="008B7F94" w:rsidRDefault="00D03C79" w:rsidP="00D03C79">
      <w:pPr>
        <w:spacing w:line="360" w:lineRule="auto"/>
        <w:rPr>
          <w:position w:val="-24"/>
          <w:lang w:val="en-US"/>
        </w:rPr>
      </w:pPr>
      <w:r w:rsidRPr="008B7F94">
        <w:rPr>
          <w:position w:val="-24"/>
          <w:lang w:val="en-US"/>
        </w:rPr>
        <w:t xml:space="preserve">Here, </w:t>
      </w:r>
      <w:proofErr w:type="gramStart"/>
      <w:r w:rsidRPr="008B7F94">
        <w:rPr>
          <w:i/>
          <w:position w:val="-24"/>
          <w:lang w:val="en-US"/>
        </w:rPr>
        <w:t>I(</w:t>
      </w:r>
      <w:proofErr w:type="gramEnd"/>
      <w:r w:rsidRPr="008B7F94">
        <w:rPr>
          <w:i/>
          <w:position w:val="-24"/>
          <w:lang w:val="en-US"/>
        </w:rPr>
        <w:t>t)</w:t>
      </w:r>
      <w:r w:rsidRPr="008B7F94">
        <w:rPr>
          <w:position w:val="-24"/>
          <w:lang w:val="en-US"/>
        </w:rPr>
        <w:t xml:space="preserve"> is the light intensity expressed as the number of </w:t>
      </w:r>
      <w:proofErr w:type="spellStart"/>
      <w:r w:rsidRPr="008B7F94">
        <w:rPr>
          <w:position w:val="-24"/>
          <w:lang w:val="en-US"/>
        </w:rPr>
        <w:t>photoisomerizations</w:t>
      </w:r>
      <w:proofErr w:type="spellEnd"/>
      <w:r w:rsidRPr="008B7F94">
        <w:rPr>
          <w:position w:val="-24"/>
          <w:lang w:val="en-US"/>
        </w:rPr>
        <w:t xml:space="preserve"> per second, and </w:t>
      </w:r>
      <w:proofErr w:type="spellStart"/>
      <w:r w:rsidRPr="008B7F94">
        <w:rPr>
          <w:i/>
          <w:position w:val="-24"/>
          <w:lang w:val="en-US"/>
        </w:rPr>
        <w:t>k</w:t>
      </w:r>
      <w:r w:rsidRPr="008B7F94">
        <w:rPr>
          <w:i/>
          <w:position w:val="-24"/>
          <w:vertAlign w:val="subscript"/>
          <w:lang w:val="en-US"/>
        </w:rPr>
        <w:t>R</w:t>
      </w:r>
      <w:proofErr w:type="spellEnd"/>
      <w:r w:rsidRPr="008B7F94">
        <w:rPr>
          <w:i/>
          <w:position w:val="-24"/>
          <w:lang w:val="en-US"/>
        </w:rPr>
        <w:t>(Ca)</w:t>
      </w:r>
      <w:r w:rsidRPr="008B7F94">
        <w:rPr>
          <w:position w:val="-24"/>
          <w:lang w:val="en-US"/>
        </w:rPr>
        <w:t xml:space="preserve"> is the rate constant of </w:t>
      </w:r>
      <w:r w:rsidRPr="008B7F94">
        <w:rPr>
          <w:i/>
          <w:position w:val="-24"/>
          <w:lang w:val="en-US"/>
        </w:rPr>
        <w:t>R*</w:t>
      </w:r>
      <w:r w:rsidRPr="008B7F94">
        <w:rPr>
          <w:position w:val="-24"/>
          <w:lang w:val="en-US"/>
        </w:rPr>
        <w:t xml:space="preserve"> phosphorylation (s</w:t>
      </w:r>
      <w:r w:rsidRPr="008B7F94">
        <w:rPr>
          <w:position w:val="-24"/>
          <w:vertAlign w:val="superscript"/>
          <w:lang w:val="en-US"/>
        </w:rPr>
        <w:t>-1</w:t>
      </w:r>
      <w:r w:rsidRPr="008B7F94">
        <w:rPr>
          <w:position w:val="-24"/>
          <w:lang w:val="en-US"/>
        </w:rPr>
        <w:t>).</w:t>
      </w:r>
    </w:p>
    <w:p w:rsidR="00D03C79" w:rsidRPr="008B7F94" w:rsidRDefault="00D03C79" w:rsidP="00D03C79">
      <w:pPr>
        <w:spacing w:line="360" w:lineRule="auto"/>
        <w:rPr>
          <w:position w:val="-24"/>
          <w:lang w:val="en-US"/>
        </w:rPr>
      </w:pPr>
      <w:r w:rsidRPr="008B7F94">
        <w:rPr>
          <w:lang w:val="en-US"/>
        </w:rPr>
        <w:tab/>
        <w:t>To describe Ca</w:t>
      </w:r>
      <w:r w:rsidRPr="008B7F94">
        <w:rPr>
          <w:vertAlign w:val="superscript"/>
          <w:lang w:val="en-US"/>
        </w:rPr>
        <w:t>2+</w:t>
      </w:r>
      <w:r w:rsidRPr="008B7F94">
        <w:rPr>
          <w:lang w:val="en-US"/>
        </w:rPr>
        <w:t xml:space="preserve">-regulation of quenching via recoverin, we use an empirical Hill-like relation for </w:t>
      </w:r>
      <w:proofErr w:type="spellStart"/>
      <w:proofErr w:type="gramStart"/>
      <w:r w:rsidRPr="008B7F94">
        <w:rPr>
          <w:i/>
          <w:lang w:val="en-US"/>
        </w:rPr>
        <w:t>k</w:t>
      </w:r>
      <w:r w:rsidRPr="008B7F94">
        <w:rPr>
          <w:i/>
          <w:vertAlign w:val="subscript"/>
          <w:lang w:val="en-US"/>
        </w:rPr>
        <w:t>R</w:t>
      </w:r>
      <w:proofErr w:type="spellEnd"/>
      <w:r w:rsidRPr="008B7F94">
        <w:rPr>
          <w:i/>
          <w:lang w:val="en-US"/>
        </w:rPr>
        <w:t>(</w:t>
      </w:r>
      <w:proofErr w:type="gramEnd"/>
      <w:r w:rsidRPr="008B7F94">
        <w:rPr>
          <w:i/>
          <w:lang w:val="en-US"/>
        </w:rPr>
        <w:t>Ca)</w:t>
      </w:r>
      <w:r w:rsidRPr="008B7F94">
        <w:rPr>
          <w:lang w:val="en-US"/>
        </w:rPr>
        <w:t xml:space="preserve"> [</w:t>
      </w:r>
      <w:r w:rsidR="003A715B" w:rsidRPr="008B7F94">
        <w:rPr>
          <w:lang w:val="en-US"/>
        </w:rPr>
        <w:t>25</w:t>
      </w:r>
      <w:r w:rsidRPr="008B7F94">
        <w:rPr>
          <w:lang w:val="en-US"/>
        </w:rPr>
        <w:t>]:</w:t>
      </w:r>
    </w:p>
    <w:p w:rsidR="00D03C79" w:rsidRPr="008B7F94" w:rsidRDefault="00D03C79" w:rsidP="00D03C79">
      <w:pPr>
        <w:spacing w:line="360" w:lineRule="auto"/>
        <w:ind w:firstLine="510"/>
        <w:rPr>
          <w:rFonts w:ascii="Arial" w:hAnsi="Arial"/>
          <w:position w:val="-36"/>
          <w:lang w:val="en-US"/>
        </w:rPr>
      </w:pPr>
      <w:r w:rsidRPr="008B7F94">
        <w:rPr>
          <w:position w:val="-36"/>
        </w:rPr>
        <w:object w:dxaOrig="4380" w:dyaOrig="800">
          <v:shape id="_x0000_i1026" type="#_x0000_t75" style="width:218.4pt;height:40.55pt" o:ole="">
            <v:imagedata r:id="rId9" o:title=""/>
          </v:shape>
          <o:OLEObject Type="Embed" ProgID="Equation.3" ShapeID="_x0000_i1026" DrawAspect="Content" ObjectID="_1487181790" r:id="rId10"/>
        </w:object>
      </w:r>
      <w:r w:rsidRPr="008B7F94">
        <w:rPr>
          <w:position w:val="-24"/>
          <w:lang w:val="en-US"/>
        </w:rPr>
        <w:tab/>
      </w:r>
      <w:r w:rsidRPr="008B7F94">
        <w:rPr>
          <w:position w:val="-24"/>
          <w:lang w:val="en-US"/>
        </w:rPr>
        <w:tab/>
      </w:r>
      <w:r w:rsidRPr="008B7F94">
        <w:rPr>
          <w:position w:val="-24"/>
          <w:lang w:val="en-US"/>
        </w:rPr>
        <w:tab/>
      </w:r>
      <w:r w:rsidRPr="008B7F94">
        <w:rPr>
          <w:position w:val="-24"/>
          <w:lang w:val="en-US"/>
        </w:rPr>
        <w:tab/>
      </w:r>
      <w:r w:rsidRPr="008B7F94">
        <w:rPr>
          <w:position w:val="-24"/>
          <w:lang w:val="en-US"/>
        </w:rPr>
        <w:tab/>
        <w:t>(A2)</w:t>
      </w:r>
    </w:p>
    <w:p w:rsidR="00D03C79" w:rsidRPr="008B7F94" w:rsidRDefault="00D03C79" w:rsidP="00D03C79">
      <w:pPr>
        <w:spacing w:line="360" w:lineRule="auto"/>
        <w:rPr>
          <w:position w:val="-24"/>
          <w:lang w:val="en-US"/>
        </w:rPr>
      </w:pPr>
      <w:proofErr w:type="spellStart"/>
      <w:proofErr w:type="gramStart"/>
      <w:r w:rsidRPr="008B7F94">
        <w:rPr>
          <w:i/>
          <w:iCs/>
          <w:lang w:val="en-US"/>
        </w:rPr>
        <w:t>k</w:t>
      </w:r>
      <w:r w:rsidRPr="008B7F94">
        <w:rPr>
          <w:i/>
          <w:iCs/>
          <w:vertAlign w:val="subscript"/>
          <w:lang w:val="en-US"/>
        </w:rPr>
        <w:t>Rmin</w:t>
      </w:r>
      <w:proofErr w:type="spellEnd"/>
      <w:proofErr w:type="gramEnd"/>
      <w:r w:rsidRPr="008B7F94">
        <w:rPr>
          <w:lang w:val="en-US"/>
        </w:rPr>
        <w:t xml:space="preserve"> and </w:t>
      </w:r>
      <w:proofErr w:type="spellStart"/>
      <w:r w:rsidRPr="008B7F94">
        <w:rPr>
          <w:i/>
          <w:iCs/>
          <w:lang w:val="en-US"/>
        </w:rPr>
        <w:t>k</w:t>
      </w:r>
      <w:r w:rsidRPr="008B7F94">
        <w:rPr>
          <w:i/>
          <w:iCs/>
          <w:vertAlign w:val="subscript"/>
          <w:lang w:val="en-US"/>
        </w:rPr>
        <w:t>Rmax</w:t>
      </w:r>
      <w:proofErr w:type="spellEnd"/>
      <w:r w:rsidRPr="008B7F94">
        <w:rPr>
          <w:lang w:val="en-US"/>
        </w:rPr>
        <w:t xml:space="preserve"> are minimum and maximum rate constants of phosphorylation (s</w:t>
      </w:r>
      <w:r w:rsidRPr="008B7F94">
        <w:rPr>
          <w:vertAlign w:val="superscript"/>
          <w:lang w:val="en-US"/>
        </w:rPr>
        <w:t>-1</w:t>
      </w:r>
      <w:r w:rsidRPr="008B7F94">
        <w:rPr>
          <w:lang w:val="en-US"/>
        </w:rPr>
        <w:t>), at very high and zero Ca</w:t>
      </w:r>
      <w:r w:rsidRPr="008B7F94">
        <w:rPr>
          <w:vertAlign w:val="superscript"/>
          <w:lang w:val="en-US"/>
        </w:rPr>
        <w:t>2+</w:t>
      </w:r>
      <w:r w:rsidRPr="008B7F94">
        <w:rPr>
          <w:lang w:val="en-US"/>
        </w:rPr>
        <w:t xml:space="preserve"> concentrations, respectively. </w:t>
      </w:r>
      <w:proofErr w:type="spellStart"/>
      <w:r w:rsidRPr="008B7F94">
        <w:rPr>
          <w:i/>
          <w:iCs/>
          <w:lang w:val="en-US"/>
        </w:rPr>
        <w:t>K</w:t>
      </w:r>
      <w:r w:rsidRPr="008B7F94">
        <w:rPr>
          <w:i/>
          <w:iCs/>
          <w:vertAlign w:val="subscript"/>
          <w:lang w:val="en-US"/>
        </w:rPr>
        <w:t>CaR</w:t>
      </w:r>
      <w:proofErr w:type="spellEnd"/>
      <w:r w:rsidRPr="008B7F94">
        <w:rPr>
          <w:lang w:val="en-US"/>
        </w:rPr>
        <w:t xml:space="preserve"> is the half-saturating Ca</w:t>
      </w:r>
      <w:r w:rsidRPr="008B7F94">
        <w:rPr>
          <w:vertAlign w:val="superscript"/>
          <w:lang w:val="en-US"/>
        </w:rPr>
        <w:t>2+</w:t>
      </w:r>
      <w:r w:rsidRPr="008B7F94">
        <w:rPr>
          <w:lang w:val="en-US"/>
        </w:rPr>
        <w:t xml:space="preserve">concentration, and </w:t>
      </w:r>
      <w:proofErr w:type="spellStart"/>
      <w:r w:rsidRPr="008B7F94">
        <w:rPr>
          <w:i/>
          <w:iCs/>
          <w:lang w:val="en-US"/>
        </w:rPr>
        <w:t>n</w:t>
      </w:r>
      <w:r w:rsidRPr="008B7F94">
        <w:rPr>
          <w:i/>
          <w:iCs/>
          <w:vertAlign w:val="subscript"/>
          <w:lang w:val="en-US"/>
        </w:rPr>
        <w:t>CaR</w:t>
      </w:r>
      <w:proofErr w:type="spellEnd"/>
      <w:r w:rsidRPr="008B7F94">
        <w:rPr>
          <w:lang w:val="en-US"/>
        </w:rPr>
        <w:t xml:space="preserve"> is the Hill coefficient of the regulation. The value of </w:t>
      </w:r>
      <w:proofErr w:type="spellStart"/>
      <w:proofErr w:type="gramStart"/>
      <w:r w:rsidRPr="008B7F94">
        <w:rPr>
          <w:i/>
          <w:lang w:val="en-US"/>
        </w:rPr>
        <w:t>k</w:t>
      </w:r>
      <w:r w:rsidRPr="008B7F94">
        <w:rPr>
          <w:i/>
          <w:vertAlign w:val="subscript"/>
          <w:lang w:val="en-US"/>
        </w:rPr>
        <w:t>R</w:t>
      </w:r>
      <w:proofErr w:type="spellEnd"/>
      <w:r w:rsidRPr="008B7F94">
        <w:rPr>
          <w:i/>
          <w:lang w:val="en-US"/>
        </w:rPr>
        <w:t>(</w:t>
      </w:r>
      <w:proofErr w:type="gramEnd"/>
      <w:r w:rsidRPr="008B7F94">
        <w:rPr>
          <w:i/>
          <w:lang w:val="en-US"/>
        </w:rPr>
        <w:t>Ca)</w:t>
      </w:r>
      <w:r w:rsidRPr="008B7F94">
        <w:rPr>
          <w:lang w:val="en-US"/>
        </w:rPr>
        <w:t xml:space="preserve"> at Ca</w:t>
      </w:r>
      <w:r w:rsidRPr="008B7F94">
        <w:rPr>
          <w:vertAlign w:val="superscript"/>
          <w:lang w:val="en-US"/>
        </w:rPr>
        <w:t>2+</w:t>
      </w:r>
      <w:r w:rsidRPr="008B7F94">
        <w:rPr>
          <w:lang w:val="en-US"/>
        </w:rPr>
        <w:t xml:space="preserve"> concentration in darkness is further designated as </w:t>
      </w:r>
      <w:proofErr w:type="spellStart"/>
      <w:r w:rsidRPr="008B7F94">
        <w:rPr>
          <w:i/>
          <w:lang w:val="en-US"/>
        </w:rPr>
        <w:t>k</w:t>
      </w:r>
      <w:r w:rsidRPr="008B7F94">
        <w:rPr>
          <w:i/>
          <w:vertAlign w:val="subscript"/>
          <w:lang w:val="en-US"/>
        </w:rPr>
        <w:t>Rdark</w:t>
      </w:r>
      <w:proofErr w:type="spellEnd"/>
      <w:r w:rsidRPr="008B7F94">
        <w:rPr>
          <w:lang w:val="en-US"/>
        </w:rPr>
        <w:t>.</w:t>
      </w:r>
    </w:p>
    <w:p w:rsidR="00D03C79" w:rsidRPr="008B7F94" w:rsidRDefault="00D03C79" w:rsidP="00D03C79">
      <w:pPr>
        <w:spacing w:line="360" w:lineRule="auto"/>
        <w:ind w:firstLine="510"/>
        <w:rPr>
          <w:lang w:val="en-US"/>
        </w:rPr>
      </w:pPr>
      <w:r w:rsidRPr="008B7F94">
        <w:rPr>
          <w:lang w:val="en-US"/>
        </w:rPr>
        <w:t xml:space="preserve">Phosphorylation converts </w:t>
      </w:r>
      <w:r w:rsidRPr="008B7F94">
        <w:rPr>
          <w:i/>
          <w:lang w:val="en-US"/>
        </w:rPr>
        <w:t>R*</w:t>
      </w:r>
      <w:r w:rsidRPr="008B7F94">
        <w:rPr>
          <w:lang w:val="en-US"/>
        </w:rPr>
        <w:t xml:space="preserve"> to its partially inactivated form, </w:t>
      </w:r>
      <w:r w:rsidRPr="008B7F94">
        <w:rPr>
          <w:i/>
          <w:lang w:val="en-US"/>
        </w:rPr>
        <w:t>R</w:t>
      </w:r>
      <w:r w:rsidRPr="008B7F94">
        <w:rPr>
          <w:i/>
          <w:vertAlign w:val="subscript"/>
          <w:lang w:val="en-US"/>
        </w:rPr>
        <w:t>P</w:t>
      </w:r>
      <w:r w:rsidRPr="008B7F94">
        <w:rPr>
          <w:lang w:val="en-US"/>
        </w:rPr>
        <w:t xml:space="preserve">, which is further completely quenched by binding to arrestin at the rate </w:t>
      </w:r>
      <w:proofErr w:type="spellStart"/>
      <w:r w:rsidRPr="008B7F94">
        <w:rPr>
          <w:i/>
          <w:lang w:val="en-US"/>
        </w:rPr>
        <w:t>k</w:t>
      </w:r>
      <w:r w:rsidRPr="008B7F94">
        <w:rPr>
          <w:i/>
          <w:vertAlign w:val="subscript"/>
          <w:lang w:val="en-US"/>
        </w:rPr>
        <w:t>Arr</w:t>
      </w:r>
      <w:proofErr w:type="spellEnd"/>
      <w:r w:rsidRPr="008B7F94">
        <w:rPr>
          <w:lang w:val="en-US"/>
        </w:rPr>
        <w:t xml:space="preserve">: </w:t>
      </w:r>
    </w:p>
    <w:p w:rsidR="00D03C79" w:rsidRPr="008B7F94" w:rsidRDefault="00D03C79" w:rsidP="00D03C79">
      <w:pPr>
        <w:spacing w:line="360" w:lineRule="auto"/>
        <w:ind w:firstLine="510"/>
        <w:rPr>
          <w:rFonts w:ascii="Arial" w:hAnsi="Arial"/>
          <w:lang w:val="en-US"/>
        </w:rPr>
      </w:pPr>
    </w:p>
    <w:p w:rsidR="00D03C79" w:rsidRPr="008B7F94" w:rsidRDefault="00D03C79" w:rsidP="00D03C79">
      <w:pPr>
        <w:tabs>
          <w:tab w:val="left" w:pos="7230"/>
        </w:tabs>
        <w:spacing w:line="360" w:lineRule="auto"/>
        <w:ind w:firstLine="510"/>
        <w:rPr>
          <w:position w:val="-24"/>
          <w:lang w:val="en-US"/>
        </w:rPr>
      </w:pPr>
      <w:r w:rsidRPr="008B7F94">
        <w:rPr>
          <w:position w:val="-26"/>
        </w:rPr>
        <w:object w:dxaOrig="4280" w:dyaOrig="700">
          <v:shape id="_x0000_i1027" type="#_x0000_t75" style="width:214.4pt;height:35pt" o:ole="">
            <v:imagedata r:id="rId11" o:title=""/>
          </v:shape>
          <o:OLEObject Type="Embed" ProgID="Equation.3" ShapeID="_x0000_i1027" DrawAspect="Content" ObjectID="_1487181791" r:id="rId12"/>
        </w:object>
      </w:r>
      <w:r w:rsidRPr="008B7F94">
        <w:rPr>
          <w:position w:val="-24"/>
          <w:lang w:val="en-US"/>
        </w:rPr>
        <w:tab/>
      </w:r>
      <w:r w:rsidRPr="008B7F94">
        <w:rPr>
          <w:position w:val="-24"/>
          <w:lang w:val="en-US"/>
        </w:rPr>
        <w:tab/>
        <w:t>(A3)</w:t>
      </w:r>
    </w:p>
    <w:p w:rsidR="00D03C79" w:rsidRPr="008B7F94" w:rsidRDefault="00D03C79" w:rsidP="00D03C79">
      <w:pPr>
        <w:spacing w:line="360" w:lineRule="auto"/>
        <w:ind w:firstLine="510"/>
        <w:rPr>
          <w:rFonts w:ascii="Arial" w:hAnsi="Arial"/>
          <w:lang w:val="en-US"/>
        </w:rPr>
      </w:pPr>
    </w:p>
    <w:p w:rsidR="00D03C79" w:rsidRPr="008B7F94" w:rsidRDefault="00D03C79" w:rsidP="00D03C79">
      <w:pPr>
        <w:pStyle w:val="2"/>
        <w:ind w:firstLine="720"/>
        <w:jc w:val="both"/>
      </w:pPr>
      <w:proofErr w:type="gramStart"/>
      <w:r w:rsidRPr="008B7F94">
        <w:t xml:space="preserve">The two forms of photoactivated pigment, </w:t>
      </w:r>
      <w:r w:rsidRPr="008B7F94">
        <w:rPr>
          <w:i/>
        </w:rPr>
        <w:t>R*</w:t>
      </w:r>
      <w:r w:rsidRPr="008B7F94">
        <w:t xml:space="preserve"> and </w:t>
      </w:r>
      <w:r w:rsidRPr="008B7F94">
        <w:rPr>
          <w:i/>
        </w:rPr>
        <w:t>R</w:t>
      </w:r>
      <w:r w:rsidRPr="008B7F94">
        <w:rPr>
          <w:i/>
          <w:vertAlign w:val="subscript"/>
        </w:rPr>
        <w:t>P</w:t>
      </w:r>
      <w:r w:rsidRPr="008B7F94">
        <w:t>, produce active transducin-GTP-phosphodiesterase complexes (</w:t>
      </w:r>
      <w:r w:rsidRPr="008B7F94">
        <w:rPr>
          <w:i/>
          <w:iCs/>
        </w:rPr>
        <w:t>T</w:t>
      </w:r>
      <w:r w:rsidRPr="008B7F94">
        <w:rPr>
          <w:i/>
          <w:iCs/>
          <w:vertAlign w:val="superscript"/>
        </w:rPr>
        <w:t>.</w:t>
      </w:r>
      <w:r w:rsidRPr="008B7F94">
        <w:rPr>
          <w:i/>
          <w:iCs/>
        </w:rPr>
        <w:t>GTP</w:t>
      </w:r>
      <w:r w:rsidRPr="008B7F94">
        <w:rPr>
          <w:i/>
          <w:iCs/>
          <w:vertAlign w:val="superscript"/>
        </w:rPr>
        <w:t>.</w:t>
      </w:r>
      <w:r w:rsidRPr="008B7F94">
        <w:rPr>
          <w:i/>
          <w:iCs/>
        </w:rPr>
        <w:t>PDE*</w:t>
      </w:r>
      <w:r w:rsidRPr="008B7F94">
        <w:t xml:space="preserve">) at the rates of </w:t>
      </w:r>
      <w:r w:rsidRPr="008B7F94">
        <w:rPr>
          <w:rFonts w:ascii="Symbol" w:hAnsi="Symbol"/>
          <w:i/>
          <w:iCs/>
        </w:rPr>
        <w:t></w:t>
      </w:r>
      <w:r w:rsidRPr="008B7F94">
        <w:rPr>
          <w:i/>
          <w:iCs/>
          <w:vertAlign w:val="subscript"/>
        </w:rPr>
        <w:t>RE</w:t>
      </w:r>
      <w:r w:rsidRPr="008B7F94">
        <w:rPr>
          <w:iCs/>
        </w:rPr>
        <w:t xml:space="preserve"> and </w:t>
      </w:r>
      <w:proofErr w:type="spellStart"/>
      <w:r w:rsidRPr="008B7F94">
        <w:rPr>
          <w:i/>
          <w:iCs/>
        </w:rPr>
        <w:t>a</w:t>
      </w:r>
      <w:r w:rsidRPr="008B7F94">
        <w:rPr>
          <w:i/>
          <w:iCs/>
          <w:vertAlign w:val="subscript"/>
        </w:rPr>
        <w:t>p</w:t>
      </w:r>
      <w:r w:rsidRPr="008B7F94">
        <w:rPr>
          <w:iCs/>
          <w:vertAlign w:val="superscript"/>
        </w:rPr>
        <w:t>.</w:t>
      </w:r>
      <w:r w:rsidRPr="008B7F94">
        <w:rPr>
          <w:rFonts w:ascii="Symbol" w:hAnsi="Symbol"/>
          <w:i/>
          <w:iCs/>
        </w:rPr>
        <w:t></w:t>
      </w:r>
      <w:r w:rsidRPr="008B7F94">
        <w:rPr>
          <w:i/>
          <w:iCs/>
          <w:vertAlign w:val="subscript"/>
        </w:rPr>
        <w:t>RE</w:t>
      </w:r>
      <w:proofErr w:type="spellEnd"/>
      <w:r w:rsidRPr="008B7F94">
        <w:rPr>
          <w:iCs/>
        </w:rPr>
        <w:t>, respectively</w:t>
      </w:r>
      <w:r w:rsidRPr="008B7F94">
        <w:t>.</w:t>
      </w:r>
      <w:proofErr w:type="gramEnd"/>
      <w:r w:rsidRPr="008B7F94">
        <w:t xml:space="preserve"> Here </w:t>
      </w:r>
      <w:proofErr w:type="spellStart"/>
      <w:proofErr w:type="gramStart"/>
      <w:r w:rsidRPr="008B7F94">
        <w:rPr>
          <w:i/>
          <w:iCs/>
        </w:rPr>
        <w:t>a</w:t>
      </w:r>
      <w:r w:rsidRPr="008B7F94">
        <w:rPr>
          <w:i/>
          <w:iCs/>
          <w:vertAlign w:val="subscript"/>
        </w:rPr>
        <w:t>p</w:t>
      </w:r>
      <w:proofErr w:type="spellEnd"/>
      <w:proofErr w:type="gramEnd"/>
      <w:r w:rsidRPr="008B7F94">
        <w:t xml:space="preserve"> &lt; 1 is the fractional activity of </w:t>
      </w:r>
      <w:r w:rsidRPr="008B7F94">
        <w:rPr>
          <w:i/>
        </w:rPr>
        <w:t>R</w:t>
      </w:r>
      <w:r w:rsidRPr="008B7F94">
        <w:rPr>
          <w:i/>
          <w:vertAlign w:val="subscript"/>
        </w:rPr>
        <w:t>P</w:t>
      </w:r>
      <w:r w:rsidRPr="008B7F94">
        <w:t xml:space="preserve"> with respect to </w:t>
      </w:r>
      <w:r w:rsidRPr="008B7F94">
        <w:rPr>
          <w:i/>
        </w:rPr>
        <w:t>R*</w:t>
      </w:r>
      <w:r w:rsidRPr="008B7F94">
        <w:t xml:space="preserve">. </w:t>
      </w:r>
    </w:p>
    <w:p w:rsidR="00D03C79" w:rsidRPr="008B7F94" w:rsidRDefault="00D03C79" w:rsidP="00D03C79">
      <w:pPr>
        <w:spacing w:line="360" w:lineRule="auto"/>
        <w:ind w:firstLine="510"/>
        <w:outlineLvl w:val="0"/>
        <w:rPr>
          <w:position w:val="-36"/>
          <w:lang w:val="en-US"/>
        </w:rPr>
      </w:pPr>
      <w:r w:rsidRPr="008B7F94">
        <w:rPr>
          <w:lang w:val="en-US"/>
        </w:rPr>
        <w:t xml:space="preserve">Number of active complexes </w:t>
      </w:r>
      <w:r w:rsidRPr="008B7F94">
        <w:rPr>
          <w:i/>
          <w:iCs/>
          <w:lang w:val="en-US"/>
        </w:rPr>
        <w:t>E*</w:t>
      </w:r>
      <w:r w:rsidR="00593A5A" w:rsidRPr="008B7F94">
        <w:rPr>
          <w:i/>
          <w:iCs/>
          <w:lang w:val="en-US"/>
        </w:rPr>
        <w:t>(t)</w:t>
      </w:r>
      <w:r w:rsidRPr="008B7F94">
        <w:rPr>
          <w:lang w:val="en-US"/>
        </w:rPr>
        <w:t xml:space="preserve"> is given by </w:t>
      </w:r>
    </w:p>
    <w:p w:rsidR="00D03C79" w:rsidRPr="008B7F94" w:rsidRDefault="00D03C79" w:rsidP="00D03C79">
      <w:pPr>
        <w:spacing w:line="360" w:lineRule="auto"/>
        <w:ind w:firstLine="510"/>
        <w:rPr>
          <w:lang w:val="en-US"/>
        </w:rPr>
      </w:pPr>
      <w:r w:rsidRPr="008B7F94">
        <w:rPr>
          <w:position w:val="-26"/>
        </w:rPr>
        <w:object w:dxaOrig="5360" w:dyaOrig="700">
          <v:shape id="_x0000_i1028" type="#_x0000_t75" style="width:266.9pt;height:35pt" o:ole="">
            <v:imagedata r:id="rId13" o:title=""/>
          </v:shape>
          <o:OLEObject Type="Embed" ProgID="Equation.3" ShapeID="_x0000_i1028" DrawAspect="Content" ObjectID="_1487181792" r:id="rId14"/>
        </w:object>
      </w:r>
      <w:r w:rsidRPr="008B7F94">
        <w:rPr>
          <w:lang w:val="en-US"/>
        </w:rPr>
        <w:tab/>
      </w:r>
      <w:r w:rsidRPr="008B7F94">
        <w:rPr>
          <w:lang w:val="en-US"/>
        </w:rPr>
        <w:tab/>
      </w:r>
      <w:r w:rsidRPr="008B7F94">
        <w:rPr>
          <w:lang w:val="en-US"/>
        </w:rPr>
        <w:tab/>
        <w:t>(A4),</w:t>
      </w:r>
    </w:p>
    <w:p w:rsidR="00D03C79" w:rsidRPr="008B7F94" w:rsidRDefault="00D03C79" w:rsidP="00D03C79">
      <w:pPr>
        <w:spacing w:line="360" w:lineRule="auto"/>
        <w:rPr>
          <w:lang w:val="en-US"/>
        </w:rPr>
      </w:pPr>
      <w:proofErr w:type="gramStart"/>
      <w:r w:rsidRPr="008B7F94">
        <w:rPr>
          <w:lang w:val="en-US"/>
        </w:rPr>
        <w:t>where</w:t>
      </w:r>
      <w:proofErr w:type="gramEnd"/>
      <w:r w:rsidRPr="008B7F94">
        <w:rPr>
          <w:lang w:val="en-US"/>
        </w:rPr>
        <w:t xml:space="preserve"> </w:t>
      </w:r>
      <w:proofErr w:type="spellStart"/>
      <w:r w:rsidRPr="008B7F94">
        <w:rPr>
          <w:i/>
          <w:iCs/>
          <w:lang w:val="en-US"/>
        </w:rPr>
        <w:t>k</w:t>
      </w:r>
      <w:r w:rsidRPr="008B7F94">
        <w:rPr>
          <w:i/>
          <w:iCs/>
          <w:vertAlign w:val="subscript"/>
          <w:lang w:val="en-US"/>
        </w:rPr>
        <w:t>E</w:t>
      </w:r>
      <w:proofErr w:type="spellEnd"/>
      <w:r w:rsidRPr="008B7F94">
        <w:rPr>
          <w:lang w:val="en-US"/>
        </w:rPr>
        <w:t xml:space="preserve"> is the rate constant of </w:t>
      </w:r>
      <w:r w:rsidRPr="008B7F94">
        <w:rPr>
          <w:i/>
          <w:iCs/>
          <w:lang w:val="en-US"/>
        </w:rPr>
        <w:t>E*</w:t>
      </w:r>
      <w:r w:rsidRPr="008B7F94">
        <w:rPr>
          <w:lang w:val="en-US"/>
        </w:rPr>
        <w:t xml:space="preserve"> turnoff (s</w:t>
      </w:r>
      <w:r w:rsidRPr="008B7F94">
        <w:rPr>
          <w:vertAlign w:val="superscript"/>
          <w:lang w:val="en-US"/>
        </w:rPr>
        <w:t>-1</w:t>
      </w:r>
      <w:r w:rsidRPr="008B7F94">
        <w:rPr>
          <w:lang w:val="en-US"/>
        </w:rPr>
        <w:t xml:space="preserve">). </w:t>
      </w:r>
    </w:p>
    <w:p w:rsidR="00D03C79" w:rsidRPr="008B7F94" w:rsidRDefault="00D03C79" w:rsidP="00D03C79">
      <w:pPr>
        <w:spacing w:line="360" w:lineRule="auto"/>
        <w:ind w:firstLine="510"/>
        <w:rPr>
          <w:lang w:val="en-US"/>
        </w:rPr>
      </w:pPr>
      <w:proofErr w:type="gramStart"/>
      <w:r w:rsidRPr="008B7F94">
        <w:rPr>
          <w:lang w:val="en-US"/>
        </w:rPr>
        <w:t>cGMP</w:t>
      </w:r>
      <w:proofErr w:type="gramEnd"/>
      <w:r w:rsidRPr="008B7F94">
        <w:rPr>
          <w:lang w:val="en-US"/>
        </w:rPr>
        <w:t xml:space="preserve"> turnover is described by</w:t>
      </w:r>
    </w:p>
    <w:p w:rsidR="00D03C79" w:rsidRPr="008B7F94" w:rsidRDefault="00D03C79" w:rsidP="00D03C79">
      <w:pPr>
        <w:spacing w:line="360" w:lineRule="auto"/>
        <w:ind w:firstLine="510"/>
        <w:rPr>
          <w:lang w:val="en-US"/>
        </w:rPr>
      </w:pPr>
      <w:r w:rsidRPr="008B7F94">
        <w:rPr>
          <w:position w:val="-26"/>
        </w:rPr>
        <w:object w:dxaOrig="2420" w:dyaOrig="700">
          <v:shape id="_x0000_i1029" type="#_x0000_t75" style="width:120.95pt;height:34.2pt" o:ole="">
            <v:imagedata r:id="rId15" o:title=""/>
          </v:shape>
          <o:OLEObject Type="Embed" ProgID="Equation.3" ShapeID="_x0000_i1029" DrawAspect="Content" ObjectID="_1487181793" r:id="rId16"/>
        </w:object>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t>(A5),</w:t>
      </w:r>
    </w:p>
    <w:p w:rsidR="00D03C79" w:rsidRPr="008B7F94" w:rsidRDefault="00D03C79" w:rsidP="00D03C79">
      <w:pPr>
        <w:spacing w:line="360" w:lineRule="auto"/>
        <w:rPr>
          <w:rFonts w:ascii="Arial" w:hAnsi="Arial"/>
          <w:lang w:val="en-US"/>
        </w:rPr>
      </w:pPr>
      <w:proofErr w:type="gramStart"/>
      <w:r w:rsidRPr="008B7F94">
        <w:rPr>
          <w:lang w:val="en-US"/>
        </w:rPr>
        <w:t>where</w:t>
      </w:r>
      <w:proofErr w:type="gramEnd"/>
      <w:r w:rsidRPr="008B7F94">
        <w:rPr>
          <w:rFonts w:ascii="Arial" w:hAnsi="Arial"/>
          <w:lang w:val="en-US"/>
        </w:rPr>
        <w:t xml:space="preserve"> </w:t>
      </w:r>
      <w:proofErr w:type="spellStart"/>
      <w:r w:rsidRPr="008B7F94">
        <w:rPr>
          <w:i/>
          <w:lang w:val="en-US"/>
        </w:rPr>
        <w:t>cG</w:t>
      </w:r>
      <w:proofErr w:type="spellEnd"/>
      <w:r w:rsidR="00593A5A" w:rsidRPr="008B7F94">
        <w:rPr>
          <w:i/>
          <w:lang w:val="en-US"/>
        </w:rPr>
        <w:t>(t)</w:t>
      </w:r>
      <w:r w:rsidRPr="008B7F94">
        <w:rPr>
          <w:lang w:val="en-US"/>
        </w:rPr>
        <w:t xml:space="preserve"> is the concentration of cGMP, </w:t>
      </w:r>
      <w:r w:rsidRPr="008B7F94">
        <w:rPr>
          <w:rFonts w:ascii="Symbol" w:hAnsi="Symbol"/>
          <w:i/>
          <w:iCs/>
        </w:rPr>
        <w:sym w:font="Symbol" w:char="F061"/>
      </w:r>
      <w:r w:rsidRPr="008B7F94">
        <w:rPr>
          <w:rFonts w:ascii="Arial" w:hAnsi="Arial"/>
          <w:i/>
          <w:iCs/>
          <w:lang w:val="en-US"/>
        </w:rPr>
        <w:t>(</w:t>
      </w:r>
      <w:r w:rsidRPr="008B7F94">
        <w:rPr>
          <w:i/>
          <w:iCs/>
          <w:lang w:val="en-US"/>
        </w:rPr>
        <w:t>t</w:t>
      </w:r>
      <w:r w:rsidRPr="008B7F94">
        <w:rPr>
          <w:rFonts w:ascii="Arial" w:hAnsi="Arial"/>
          <w:i/>
          <w:iCs/>
          <w:lang w:val="en-US"/>
        </w:rPr>
        <w:t>)</w:t>
      </w:r>
      <w:r w:rsidRPr="008B7F94">
        <w:rPr>
          <w:rFonts w:ascii="Arial" w:hAnsi="Arial"/>
          <w:lang w:val="en-US"/>
        </w:rPr>
        <w:t xml:space="preserve"> i</w:t>
      </w:r>
      <w:r w:rsidRPr="008B7F94">
        <w:rPr>
          <w:lang w:val="en-US"/>
        </w:rPr>
        <w:t>s the rate of cGMP production by guanylate cyclase, and</w:t>
      </w:r>
      <w:r w:rsidRPr="008B7F94">
        <w:rPr>
          <w:rFonts w:ascii="Arial" w:hAnsi="Arial"/>
          <w:lang w:val="en-US"/>
        </w:rPr>
        <w:t xml:space="preserve"> </w:t>
      </w:r>
      <w:r w:rsidRPr="008B7F94">
        <w:rPr>
          <w:rFonts w:ascii="Symbol" w:hAnsi="Symbol"/>
          <w:i/>
          <w:iCs/>
        </w:rPr>
        <w:t></w:t>
      </w:r>
      <w:r w:rsidRPr="008B7F94">
        <w:rPr>
          <w:i/>
          <w:iCs/>
          <w:lang w:val="en-US"/>
        </w:rPr>
        <w:t>(t)</w:t>
      </w:r>
      <w:r w:rsidRPr="008B7F94">
        <w:rPr>
          <w:rFonts w:ascii="Arial" w:hAnsi="Arial"/>
          <w:lang w:val="en-US"/>
        </w:rPr>
        <w:t xml:space="preserve"> </w:t>
      </w:r>
      <w:r w:rsidRPr="008B7F94">
        <w:rPr>
          <w:lang w:val="en-US"/>
        </w:rPr>
        <w:t xml:space="preserve">is the rate of its hydrolysis by phosphodiesterase. Here cGMP concentration is expressed in </w:t>
      </w:r>
      <w:r w:rsidRPr="008B7F94">
        <w:rPr>
          <w:rFonts w:ascii="Symbol" w:hAnsi="Symbol"/>
          <w:lang w:val="en-US"/>
        </w:rPr>
        <w:t></w:t>
      </w:r>
      <w:r w:rsidRPr="008B7F94">
        <w:rPr>
          <w:lang w:val="en-US"/>
        </w:rPr>
        <w:t>mol</w:t>
      </w:r>
      <w:r w:rsidRPr="008B7F94">
        <w:rPr>
          <w:vertAlign w:val="superscript"/>
          <w:lang w:val="en-US"/>
        </w:rPr>
        <w:t>.</w:t>
      </w:r>
      <w:r w:rsidRPr="008B7F94">
        <w:rPr>
          <w:lang w:val="en-US"/>
        </w:rPr>
        <w:t>l</w:t>
      </w:r>
      <w:r w:rsidRPr="008B7F94">
        <w:rPr>
          <w:vertAlign w:val="superscript"/>
          <w:lang w:val="en-US"/>
        </w:rPr>
        <w:t>-1</w:t>
      </w:r>
      <w:r w:rsidRPr="008B7F94">
        <w:rPr>
          <w:rFonts w:ascii="Arial" w:hAnsi="Arial"/>
          <w:lang w:val="en-US"/>
        </w:rPr>
        <w:t xml:space="preserve">, </w:t>
      </w:r>
      <w:r w:rsidRPr="008B7F94">
        <w:rPr>
          <w:lang w:val="en-US"/>
        </w:rPr>
        <w:t xml:space="preserve">and </w:t>
      </w:r>
      <w:proofErr w:type="gramStart"/>
      <w:r w:rsidRPr="008B7F94">
        <w:rPr>
          <w:rFonts w:ascii="Symbol" w:hAnsi="Symbol"/>
          <w:i/>
        </w:rPr>
        <w:t></w:t>
      </w:r>
      <w:r w:rsidRPr="008B7F94">
        <w:rPr>
          <w:i/>
          <w:lang w:val="en-US"/>
        </w:rPr>
        <w:t>(</w:t>
      </w:r>
      <w:proofErr w:type="gramEnd"/>
      <w:r w:rsidRPr="008B7F94">
        <w:rPr>
          <w:i/>
          <w:lang w:val="en-US"/>
        </w:rPr>
        <w:t>t)</w:t>
      </w:r>
      <w:r w:rsidRPr="008B7F94">
        <w:rPr>
          <w:rFonts w:ascii="Arial" w:hAnsi="Arial"/>
          <w:i/>
          <w:lang w:val="en-US"/>
        </w:rPr>
        <w:t xml:space="preserve"> </w:t>
      </w:r>
      <w:r w:rsidRPr="008B7F94">
        <w:rPr>
          <w:lang w:val="en-US"/>
        </w:rPr>
        <w:t xml:space="preserve">and </w:t>
      </w:r>
      <w:r w:rsidRPr="008B7F94">
        <w:rPr>
          <w:rFonts w:ascii="Symbol" w:hAnsi="Symbol"/>
          <w:i/>
        </w:rPr>
        <w:t></w:t>
      </w:r>
      <w:r w:rsidRPr="008B7F94">
        <w:rPr>
          <w:i/>
          <w:lang w:val="en-US"/>
        </w:rPr>
        <w:t>(t)</w:t>
      </w:r>
      <w:r w:rsidRPr="008B7F94">
        <w:rPr>
          <w:rFonts w:ascii="Arial" w:hAnsi="Arial"/>
          <w:lang w:val="en-US"/>
        </w:rPr>
        <w:t xml:space="preserve">, </w:t>
      </w:r>
      <w:r w:rsidRPr="008B7F94">
        <w:rPr>
          <w:lang w:val="en-US"/>
        </w:rPr>
        <w:t>in</w:t>
      </w:r>
      <w:r w:rsidRPr="008B7F94">
        <w:rPr>
          <w:rFonts w:ascii="Arial" w:hAnsi="Arial"/>
          <w:lang w:val="en-US"/>
        </w:rPr>
        <w:t xml:space="preserve"> </w:t>
      </w:r>
      <w:r w:rsidRPr="008B7F94">
        <w:rPr>
          <w:rFonts w:ascii="Symbol" w:hAnsi="Symbol"/>
          <w:lang w:val="en-US"/>
        </w:rPr>
        <w:t></w:t>
      </w:r>
      <w:r w:rsidRPr="008B7F94">
        <w:rPr>
          <w:lang w:val="en-US"/>
        </w:rPr>
        <w:t>mol</w:t>
      </w:r>
      <w:r w:rsidRPr="008B7F94">
        <w:rPr>
          <w:vertAlign w:val="superscript"/>
          <w:lang w:val="en-US"/>
        </w:rPr>
        <w:t>.</w:t>
      </w:r>
      <w:r w:rsidRPr="008B7F94">
        <w:rPr>
          <w:lang w:val="en-US"/>
        </w:rPr>
        <w:t>l</w:t>
      </w:r>
      <w:r w:rsidRPr="008B7F94">
        <w:rPr>
          <w:vertAlign w:val="superscript"/>
          <w:lang w:val="en-US"/>
        </w:rPr>
        <w:t>-1.</w:t>
      </w:r>
      <w:r w:rsidRPr="008B7F94">
        <w:rPr>
          <w:lang w:val="en-US"/>
        </w:rPr>
        <w:t>s</w:t>
      </w:r>
      <w:r w:rsidRPr="008B7F94">
        <w:rPr>
          <w:vertAlign w:val="superscript"/>
          <w:lang w:val="en-US"/>
        </w:rPr>
        <w:t>-1</w:t>
      </w:r>
      <w:r w:rsidRPr="008B7F94">
        <w:rPr>
          <w:rFonts w:ascii="Arial" w:hAnsi="Arial"/>
          <w:lang w:val="en-US"/>
        </w:rPr>
        <w:t xml:space="preserve">. </w:t>
      </w:r>
    </w:p>
    <w:p w:rsidR="00D03C79" w:rsidRPr="008B7F94" w:rsidRDefault="00D03C79" w:rsidP="00D03C79">
      <w:pPr>
        <w:spacing w:line="360" w:lineRule="auto"/>
        <w:ind w:firstLine="510"/>
        <w:rPr>
          <w:lang w:val="en-US"/>
        </w:rPr>
      </w:pPr>
      <w:r w:rsidRPr="008B7F94">
        <w:rPr>
          <w:lang w:val="en-US"/>
        </w:rPr>
        <w:tab/>
        <w:t xml:space="preserve">Guanylate cyclase activity is under calcium control, in the form similar to that for </w:t>
      </w:r>
      <w:r w:rsidRPr="008B7F94">
        <w:rPr>
          <w:i/>
          <w:iCs/>
          <w:lang w:val="en-US"/>
        </w:rPr>
        <w:t>R*</w:t>
      </w:r>
      <w:r w:rsidRPr="008B7F94">
        <w:rPr>
          <w:lang w:val="en-US"/>
        </w:rPr>
        <w:t xml:space="preserve"> turnoff:</w:t>
      </w:r>
    </w:p>
    <w:p w:rsidR="00D03C79" w:rsidRPr="008B7F94" w:rsidRDefault="00D03C79" w:rsidP="00D03C79">
      <w:pPr>
        <w:spacing w:line="360" w:lineRule="auto"/>
        <w:ind w:firstLine="510"/>
        <w:rPr>
          <w:lang w:val="en-US"/>
        </w:rPr>
      </w:pPr>
      <w:r w:rsidRPr="008B7F94">
        <w:rPr>
          <w:position w:val="-42"/>
        </w:rPr>
        <w:object w:dxaOrig="3800" w:dyaOrig="859">
          <v:shape id="_x0000_i1030" type="#_x0000_t75" style="width:186.15pt;height:42.15pt" o:ole="">
            <v:imagedata r:id="rId17" o:title=""/>
          </v:shape>
          <o:OLEObject Type="Embed" ProgID="Equation.3" ShapeID="_x0000_i1030" DrawAspect="Content" ObjectID="_1487181794" r:id="rId18"/>
        </w:object>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t>(A6).</w:t>
      </w:r>
    </w:p>
    <w:p w:rsidR="00D03C79" w:rsidRPr="008B7F94" w:rsidRDefault="00D03C79" w:rsidP="00D03C79">
      <w:pPr>
        <w:spacing w:line="360" w:lineRule="auto"/>
        <w:ind w:firstLine="510"/>
        <w:rPr>
          <w:lang w:val="en-US"/>
        </w:rPr>
      </w:pPr>
      <w:r w:rsidRPr="008B7F94">
        <w:rPr>
          <w:lang w:val="en-US"/>
        </w:rPr>
        <w:t xml:space="preserve">Here </w:t>
      </w:r>
      <w:r w:rsidRPr="008B7F94">
        <w:rPr>
          <w:rFonts w:ascii="Symbol" w:hAnsi="Symbol"/>
          <w:i/>
          <w:lang w:val="en-US"/>
        </w:rPr>
        <w:t></w:t>
      </w:r>
      <w:r w:rsidRPr="008B7F94">
        <w:rPr>
          <w:i/>
          <w:vertAlign w:val="subscript"/>
          <w:lang w:val="en-US"/>
        </w:rPr>
        <w:t>max</w:t>
      </w:r>
      <w:r w:rsidRPr="008B7F94">
        <w:rPr>
          <w:lang w:val="en-US"/>
        </w:rPr>
        <w:t xml:space="preserve"> is maximum guanylate cyclase activity at [Ca</w:t>
      </w:r>
      <w:r w:rsidRPr="008B7F94">
        <w:rPr>
          <w:vertAlign w:val="superscript"/>
          <w:lang w:val="en-US"/>
        </w:rPr>
        <w:t>2+</w:t>
      </w:r>
      <w:r w:rsidRPr="008B7F94">
        <w:rPr>
          <w:lang w:val="en-US"/>
        </w:rPr>
        <w:t xml:space="preserve">] = 0, </w:t>
      </w:r>
      <w:r w:rsidRPr="008B7F94">
        <w:rPr>
          <w:rFonts w:ascii="Symbol" w:hAnsi="Symbol"/>
          <w:i/>
          <w:lang w:val="en-US"/>
        </w:rPr>
        <w:t></w:t>
      </w:r>
      <w:r w:rsidRPr="008B7F94">
        <w:rPr>
          <w:i/>
          <w:vertAlign w:val="subscript"/>
          <w:lang w:val="en-US"/>
        </w:rPr>
        <w:t>min</w:t>
      </w:r>
      <w:r w:rsidRPr="008B7F94">
        <w:rPr>
          <w:lang w:val="en-US"/>
        </w:rPr>
        <w:t xml:space="preserve"> is minimum guanylate cyclase activity at high [Ca</w:t>
      </w:r>
      <w:r w:rsidRPr="008B7F94">
        <w:rPr>
          <w:vertAlign w:val="superscript"/>
          <w:lang w:val="en-US"/>
        </w:rPr>
        <w:t>2+</w:t>
      </w:r>
      <w:r w:rsidRPr="008B7F94">
        <w:rPr>
          <w:lang w:val="en-US"/>
        </w:rPr>
        <w:t xml:space="preserve">], </w:t>
      </w:r>
      <w:proofErr w:type="spellStart"/>
      <w:r w:rsidRPr="008B7F94">
        <w:rPr>
          <w:i/>
          <w:lang w:val="en-US"/>
        </w:rPr>
        <w:t>K</w:t>
      </w:r>
      <w:r w:rsidRPr="008B7F94">
        <w:rPr>
          <w:i/>
          <w:vertAlign w:val="subscript"/>
          <w:lang w:val="en-US"/>
        </w:rPr>
        <w:t>cyc</w:t>
      </w:r>
      <w:proofErr w:type="spellEnd"/>
      <w:r w:rsidRPr="008B7F94">
        <w:rPr>
          <w:lang w:val="en-US"/>
        </w:rPr>
        <w:t xml:space="preserve"> is the half-saturation constant, and </w:t>
      </w:r>
      <w:proofErr w:type="spellStart"/>
      <w:r w:rsidRPr="008B7F94">
        <w:rPr>
          <w:i/>
          <w:iCs/>
          <w:lang w:val="en-US"/>
        </w:rPr>
        <w:t>n</w:t>
      </w:r>
      <w:r w:rsidRPr="008B7F94">
        <w:rPr>
          <w:i/>
          <w:iCs/>
          <w:vertAlign w:val="subscript"/>
          <w:lang w:val="en-US"/>
        </w:rPr>
        <w:t>cyc</w:t>
      </w:r>
      <w:proofErr w:type="spellEnd"/>
      <w:r w:rsidRPr="008B7F94">
        <w:rPr>
          <w:lang w:val="en-US"/>
        </w:rPr>
        <w:t xml:space="preserve"> is the Hill coefficient of the regulation [</w:t>
      </w:r>
      <w:r w:rsidR="003A715B" w:rsidRPr="008B7F94">
        <w:rPr>
          <w:lang w:val="en-US"/>
        </w:rPr>
        <w:t xml:space="preserve">1, </w:t>
      </w:r>
      <w:r w:rsidR="003B5884" w:rsidRPr="008B7F94">
        <w:rPr>
          <w:lang w:val="en-US"/>
        </w:rPr>
        <w:t>25-28</w:t>
      </w:r>
      <w:r w:rsidRPr="008B7F94">
        <w:rPr>
          <w:lang w:val="en-US" w:eastAsia="ru-RU"/>
        </w:rPr>
        <w:t>]</w:t>
      </w:r>
      <w:r w:rsidRPr="008B7F94">
        <w:rPr>
          <w:lang w:val="en-US"/>
        </w:rPr>
        <w:t>.</w:t>
      </w:r>
    </w:p>
    <w:p w:rsidR="00D03C79" w:rsidRPr="008B7F94" w:rsidRDefault="00D03C79" w:rsidP="00D03C79">
      <w:pPr>
        <w:spacing w:line="360" w:lineRule="auto"/>
        <w:ind w:firstLine="510"/>
        <w:outlineLvl w:val="0"/>
        <w:rPr>
          <w:lang w:val="en-US"/>
        </w:rPr>
      </w:pPr>
      <w:r w:rsidRPr="008B7F94">
        <w:rPr>
          <w:lang w:val="en-US"/>
        </w:rPr>
        <w:t>The rate of cGMP hydrolysis is</w:t>
      </w:r>
    </w:p>
    <w:p w:rsidR="00D03C79" w:rsidRPr="008B7F94" w:rsidRDefault="00D03C79" w:rsidP="00D03C79">
      <w:pPr>
        <w:spacing w:line="360" w:lineRule="auto"/>
        <w:ind w:firstLine="510"/>
        <w:rPr>
          <w:rFonts w:ascii="Arial" w:hAnsi="Arial"/>
          <w:lang w:val="en-US"/>
        </w:rPr>
      </w:pPr>
      <w:r w:rsidRPr="008B7F94">
        <w:rPr>
          <w:position w:val="-42"/>
        </w:rPr>
        <w:object w:dxaOrig="5780" w:dyaOrig="980">
          <v:shape id="_x0000_i1031" type="#_x0000_t75" style="width:253pt;height:42.95pt" o:ole="">
            <v:imagedata r:id="rId19" o:title=""/>
          </v:shape>
          <o:OLEObject Type="Embed" ProgID="Equation.3" ShapeID="_x0000_i1031" DrawAspect="Content" ObjectID="_1487181795" r:id="rId20"/>
        </w:object>
      </w:r>
      <w:r w:rsidRPr="008B7F94">
        <w:rPr>
          <w:lang w:val="en-US"/>
        </w:rPr>
        <w:tab/>
      </w:r>
      <w:r w:rsidRPr="008B7F94">
        <w:rPr>
          <w:lang w:val="en-US"/>
        </w:rPr>
        <w:tab/>
      </w:r>
      <w:r w:rsidRPr="008B7F94">
        <w:rPr>
          <w:lang w:val="en-US"/>
        </w:rPr>
        <w:tab/>
      </w:r>
      <w:r w:rsidRPr="008B7F94">
        <w:rPr>
          <w:lang w:val="en-US"/>
        </w:rPr>
        <w:tab/>
        <w:t>(A7)</w:t>
      </w:r>
      <w:r w:rsidRPr="008B7F94">
        <w:rPr>
          <w:rFonts w:ascii="Arial" w:hAnsi="Arial"/>
          <w:lang w:val="en-US"/>
        </w:rPr>
        <w:t>.</w:t>
      </w:r>
    </w:p>
    <w:p w:rsidR="00D03C79" w:rsidRPr="008B7F94" w:rsidRDefault="00D03C79" w:rsidP="00D03C79">
      <w:pPr>
        <w:spacing w:line="360" w:lineRule="auto"/>
        <w:ind w:firstLine="510"/>
        <w:rPr>
          <w:lang w:val="en-US"/>
        </w:rPr>
      </w:pPr>
      <w:r w:rsidRPr="008B7F94">
        <w:rPr>
          <w:lang w:val="en-US"/>
        </w:rPr>
        <w:t xml:space="preserve">Here, </w:t>
      </w:r>
      <w:r w:rsidRPr="008B7F94">
        <w:rPr>
          <w:rFonts w:ascii="Symbol" w:hAnsi="Symbol"/>
          <w:i/>
        </w:rPr>
        <w:t></w:t>
      </w:r>
      <w:r w:rsidRPr="008B7F94">
        <w:rPr>
          <w:i/>
          <w:vertAlign w:val="subscript"/>
          <w:lang w:val="en-US"/>
        </w:rPr>
        <w:t>dark</w:t>
      </w:r>
      <w:r w:rsidRPr="008B7F94">
        <w:rPr>
          <w:lang w:val="en-US"/>
        </w:rPr>
        <w:t xml:space="preserve"> is the steady PDE activity in darkness, expressed as maximum rate of hydrolysis (</w:t>
      </w:r>
      <w:r w:rsidRPr="008B7F94">
        <w:rPr>
          <w:rFonts w:ascii="Symbol" w:hAnsi="Symbol"/>
          <w:lang w:val="en-US"/>
        </w:rPr>
        <w:t></w:t>
      </w:r>
      <w:r w:rsidRPr="008B7F94">
        <w:rPr>
          <w:lang w:val="en-US"/>
        </w:rPr>
        <w:t xml:space="preserve">M/s) at high cGMP concentration. The second term in parentheses yields light-induced activity. </w:t>
      </w:r>
      <w:proofErr w:type="spellStart"/>
      <w:proofErr w:type="gramStart"/>
      <w:r w:rsidRPr="008B7F94">
        <w:rPr>
          <w:i/>
          <w:lang w:val="en-US"/>
        </w:rPr>
        <w:t>k</w:t>
      </w:r>
      <w:r w:rsidRPr="008B7F94">
        <w:rPr>
          <w:i/>
          <w:vertAlign w:val="subscript"/>
          <w:lang w:val="en-US"/>
        </w:rPr>
        <w:t>cat</w:t>
      </w:r>
      <w:proofErr w:type="spellEnd"/>
      <w:proofErr w:type="gramEnd"/>
      <w:r w:rsidRPr="008B7F94">
        <w:rPr>
          <w:lang w:val="en-US"/>
        </w:rPr>
        <w:t xml:space="preserve"> is the catalytic activity of a single light-activated PDE subunit (s</w:t>
      </w:r>
      <w:r w:rsidRPr="008B7F94">
        <w:rPr>
          <w:vertAlign w:val="superscript"/>
          <w:lang w:val="en-US"/>
        </w:rPr>
        <w:t>-1</w:t>
      </w:r>
      <w:r w:rsidRPr="008B7F94">
        <w:rPr>
          <w:lang w:val="en-US"/>
        </w:rPr>
        <w:t xml:space="preserve">), while </w:t>
      </w:r>
      <w:r w:rsidR="00171B76" w:rsidRPr="008B7F94">
        <w:rPr>
          <w:lang w:val="en-US"/>
        </w:rPr>
        <w:t>the outer segment (</w:t>
      </w:r>
      <w:r w:rsidRPr="008B7F94">
        <w:rPr>
          <w:lang w:val="en-US"/>
        </w:rPr>
        <w:t>OS</w:t>
      </w:r>
      <w:r w:rsidR="00171B76" w:rsidRPr="008B7F94">
        <w:rPr>
          <w:lang w:val="en-US"/>
        </w:rPr>
        <w:t>)</w:t>
      </w:r>
      <w:r w:rsidRPr="008B7F94">
        <w:rPr>
          <w:lang w:val="en-US"/>
        </w:rPr>
        <w:t xml:space="preserve"> cytoplasmic volume </w:t>
      </w:r>
      <w:proofErr w:type="spellStart"/>
      <w:r w:rsidRPr="008B7F94">
        <w:rPr>
          <w:i/>
          <w:lang w:val="en-US"/>
        </w:rPr>
        <w:t>V</w:t>
      </w:r>
      <w:r w:rsidRPr="008B7F94">
        <w:rPr>
          <w:i/>
          <w:vertAlign w:val="subscript"/>
          <w:lang w:val="en-US"/>
        </w:rPr>
        <w:t>cyto</w:t>
      </w:r>
      <w:proofErr w:type="spellEnd"/>
      <w:r w:rsidRPr="008B7F94">
        <w:rPr>
          <w:lang w:val="en-US"/>
        </w:rPr>
        <w:t xml:space="preserve">, Avogadro’s number </w:t>
      </w:r>
      <w:proofErr w:type="spellStart"/>
      <w:r w:rsidRPr="008B7F94">
        <w:rPr>
          <w:i/>
          <w:lang w:val="en-US"/>
        </w:rPr>
        <w:t>N</w:t>
      </w:r>
      <w:r w:rsidRPr="008B7F94">
        <w:rPr>
          <w:i/>
          <w:vertAlign w:val="subscript"/>
          <w:lang w:val="en-US"/>
        </w:rPr>
        <w:t>Av</w:t>
      </w:r>
      <w:proofErr w:type="spellEnd"/>
      <w:r w:rsidRPr="008B7F94">
        <w:rPr>
          <w:lang w:val="en-US"/>
        </w:rPr>
        <w:t>, and the factor 10</w:t>
      </w:r>
      <w:r w:rsidRPr="008B7F94">
        <w:rPr>
          <w:vertAlign w:val="superscript"/>
          <w:lang w:val="en-US"/>
        </w:rPr>
        <w:t>-6</w:t>
      </w:r>
      <w:r w:rsidRPr="008B7F94">
        <w:rPr>
          <w:lang w:val="en-US"/>
        </w:rPr>
        <w:t xml:space="preserve"> convert the number of photoactivated PDEs into </w:t>
      </w:r>
      <w:r w:rsidRPr="008B7F94">
        <w:rPr>
          <w:rFonts w:ascii="Symbol" w:hAnsi="Symbol"/>
          <w:lang w:val="en-US"/>
        </w:rPr>
        <w:t></w:t>
      </w:r>
      <w:r w:rsidRPr="008B7F94">
        <w:rPr>
          <w:rFonts w:ascii="Symbol" w:hAnsi="Symbol"/>
          <w:lang w:val="en-US"/>
        </w:rPr>
        <w:t></w:t>
      </w:r>
      <w:r w:rsidRPr="008B7F94">
        <w:rPr>
          <w:rFonts w:ascii="Symbol" w:hAnsi="Symbol"/>
          <w:lang w:val="en-US"/>
        </w:rPr>
        <w:t></w:t>
      </w:r>
      <w:r w:rsidRPr="008B7F94">
        <w:rPr>
          <w:lang w:val="en-US"/>
        </w:rPr>
        <w:t xml:space="preserve">concentration. Hydrolysis of cGMP is supposed to proceed accordingly to </w:t>
      </w:r>
      <w:proofErr w:type="spellStart"/>
      <w:r w:rsidRPr="008B7F94">
        <w:rPr>
          <w:lang w:val="en-US"/>
        </w:rPr>
        <w:t>Michaelis</w:t>
      </w:r>
      <w:proofErr w:type="spellEnd"/>
      <w:r w:rsidRPr="008B7F94">
        <w:rPr>
          <w:lang w:val="en-US"/>
        </w:rPr>
        <w:t xml:space="preserve"> kinetics, with the half-saturating cGMP concentration </w:t>
      </w:r>
      <w:r w:rsidRPr="008B7F94">
        <w:rPr>
          <w:i/>
          <w:lang w:val="en-US"/>
        </w:rPr>
        <w:t>K</w:t>
      </w:r>
      <w:r w:rsidRPr="008B7F94">
        <w:rPr>
          <w:i/>
          <w:vertAlign w:val="subscript"/>
          <w:lang w:val="en-US"/>
        </w:rPr>
        <w:t>M</w:t>
      </w:r>
      <w:r w:rsidRPr="008B7F94">
        <w:rPr>
          <w:lang w:val="en-US"/>
        </w:rPr>
        <w:t xml:space="preserve"> (</w:t>
      </w:r>
      <w:r w:rsidRPr="008B7F94">
        <w:rPr>
          <w:rFonts w:ascii="Symbol" w:hAnsi="Symbol"/>
          <w:lang w:val="en-US"/>
        </w:rPr>
        <w:t></w:t>
      </w:r>
      <w:r w:rsidRPr="008B7F94">
        <w:rPr>
          <w:lang w:val="en-US"/>
        </w:rPr>
        <w:t xml:space="preserve">M). Since in the steady state </w:t>
      </w:r>
      <w:r w:rsidRPr="008B7F94">
        <w:rPr>
          <w:rFonts w:ascii="Symbol" w:hAnsi="Symbol"/>
          <w:i/>
          <w:lang w:val="en-US"/>
        </w:rPr>
        <w:t></w:t>
      </w:r>
      <w:r w:rsidRPr="008B7F94">
        <w:rPr>
          <w:rFonts w:ascii="Symbol" w:hAnsi="Symbol"/>
          <w:i/>
          <w:lang w:val="en-US"/>
        </w:rPr>
        <w:t></w:t>
      </w:r>
      <w:r w:rsidRPr="008B7F94">
        <w:rPr>
          <w:rFonts w:ascii="Symbol" w:hAnsi="Symbol"/>
          <w:i/>
          <w:lang w:val="en-US"/>
        </w:rPr>
        <w:t></w:t>
      </w:r>
      <w:r w:rsidRPr="008B7F94">
        <w:rPr>
          <w:rFonts w:ascii="Symbol" w:hAnsi="Symbol"/>
          <w:i/>
          <w:lang w:val="en-US"/>
        </w:rPr>
        <w:t></w:t>
      </w:r>
      <w:r w:rsidRPr="008B7F94">
        <w:rPr>
          <w:rFonts w:ascii="Symbol" w:hAnsi="Symbol"/>
          <w:i/>
          <w:lang w:val="en-US"/>
        </w:rPr>
        <w:t></w:t>
      </w:r>
      <w:r w:rsidRPr="008B7F94">
        <w:rPr>
          <w:lang w:val="en-US"/>
        </w:rPr>
        <w:t xml:space="preserve"> in eq. A5, </w:t>
      </w:r>
    </w:p>
    <w:p w:rsidR="00D03C79" w:rsidRPr="008B7F94" w:rsidRDefault="00D03C79" w:rsidP="00D03C79">
      <w:pPr>
        <w:spacing w:line="360" w:lineRule="auto"/>
        <w:ind w:firstLine="510"/>
        <w:rPr>
          <w:lang w:val="en-US"/>
        </w:rPr>
      </w:pPr>
      <w:r w:rsidRPr="008B7F94">
        <w:rPr>
          <w:position w:val="-12"/>
        </w:rPr>
        <w:object w:dxaOrig="3560" w:dyaOrig="380">
          <v:shape id="_x0000_i1032" type="#_x0000_t75" style="width:155.55pt;height:16.7pt" o:ole="">
            <v:imagedata r:id="rId21" o:title=""/>
          </v:shape>
          <o:OLEObject Type="Embed" ProgID="Equation.3" ShapeID="_x0000_i1032" DrawAspect="Content" ObjectID="_1487181796" r:id="rId22"/>
        </w:object>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t>(A8)</w:t>
      </w:r>
    </w:p>
    <w:p w:rsidR="00D03C79" w:rsidRPr="008B7F94" w:rsidRDefault="00D03C79" w:rsidP="00D03C79">
      <w:pPr>
        <w:spacing w:line="360" w:lineRule="auto"/>
        <w:ind w:firstLine="510"/>
        <w:rPr>
          <w:lang w:val="en-US"/>
        </w:rPr>
      </w:pPr>
      <w:r w:rsidRPr="008B7F94">
        <w:rPr>
          <w:lang w:val="en-US"/>
        </w:rPr>
        <w:t xml:space="preserve">The ROS membrane current </w:t>
      </w:r>
      <w:proofErr w:type="spellStart"/>
      <w:proofErr w:type="gramStart"/>
      <w:r w:rsidRPr="008B7F94">
        <w:rPr>
          <w:i/>
          <w:lang w:val="en-US"/>
        </w:rPr>
        <w:t>j</w:t>
      </w:r>
      <w:r w:rsidRPr="008B7F94">
        <w:rPr>
          <w:i/>
          <w:vertAlign w:val="subscript"/>
          <w:lang w:val="en-US"/>
        </w:rPr>
        <w:t>m</w:t>
      </w:r>
      <w:proofErr w:type="spellEnd"/>
      <w:r w:rsidRPr="008B7F94">
        <w:rPr>
          <w:i/>
          <w:lang w:val="en-US"/>
        </w:rPr>
        <w:t>(</w:t>
      </w:r>
      <w:proofErr w:type="gramEnd"/>
      <w:r w:rsidRPr="008B7F94">
        <w:rPr>
          <w:i/>
          <w:lang w:val="en-US"/>
        </w:rPr>
        <w:t xml:space="preserve">t) </w:t>
      </w:r>
      <w:r w:rsidRPr="008B7F94">
        <w:rPr>
          <w:lang w:val="en-US"/>
        </w:rPr>
        <w:t xml:space="preserve">is a sum of two components, the current flowing through cGMP-gated channels </w:t>
      </w:r>
      <w:proofErr w:type="spellStart"/>
      <w:r w:rsidRPr="008B7F94">
        <w:rPr>
          <w:i/>
          <w:iCs/>
          <w:lang w:val="en-US"/>
        </w:rPr>
        <w:t>j</w:t>
      </w:r>
      <w:r w:rsidRPr="008B7F94">
        <w:rPr>
          <w:i/>
          <w:iCs/>
          <w:vertAlign w:val="subscript"/>
          <w:lang w:val="en-US"/>
        </w:rPr>
        <w:t>cG</w:t>
      </w:r>
      <w:proofErr w:type="spellEnd"/>
      <w:r w:rsidRPr="008B7F94">
        <w:rPr>
          <w:i/>
          <w:iCs/>
          <w:lang w:val="en-US"/>
        </w:rPr>
        <w:t>(t)</w:t>
      </w:r>
      <w:r w:rsidRPr="008B7F94">
        <w:rPr>
          <w:lang w:val="en-US"/>
        </w:rPr>
        <w:t xml:space="preserve"> and the current carried by the Na</w:t>
      </w:r>
      <w:r w:rsidRPr="008B7F94">
        <w:rPr>
          <w:vertAlign w:val="superscript"/>
          <w:lang w:val="en-US"/>
        </w:rPr>
        <w:t>+</w:t>
      </w:r>
      <w:r w:rsidRPr="008B7F94">
        <w:rPr>
          <w:lang w:val="en-US"/>
        </w:rPr>
        <w:t>/Ca</w:t>
      </w:r>
      <w:r w:rsidRPr="008B7F94">
        <w:rPr>
          <w:vertAlign w:val="superscript"/>
          <w:lang w:val="en-US"/>
        </w:rPr>
        <w:t>2+</w:t>
      </w:r>
      <w:r w:rsidRPr="008B7F94">
        <w:rPr>
          <w:lang w:val="en-US"/>
        </w:rPr>
        <w:t>-K</w:t>
      </w:r>
      <w:r w:rsidRPr="008B7F94">
        <w:rPr>
          <w:vertAlign w:val="superscript"/>
          <w:lang w:val="en-US"/>
        </w:rPr>
        <w:t>+</w:t>
      </w:r>
      <w:r w:rsidRPr="008B7F94">
        <w:rPr>
          <w:lang w:val="en-US"/>
        </w:rPr>
        <w:t xml:space="preserve"> exchanger </w:t>
      </w:r>
      <w:proofErr w:type="spellStart"/>
      <w:r w:rsidRPr="008B7F94">
        <w:rPr>
          <w:i/>
          <w:iCs/>
          <w:lang w:val="en-US"/>
        </w:rPr>
        <w:t>j</w:t>
      </w:r>
      <w:r w:rsidRPr="008B7F94">
        <w:rPr>
          <w:i/>
          <w:iCs/>
          <w:vertAlign w:val="subscript"/>
          <w:lang w:val="en-US"/>
        </w:rPr>
        <w:t>ex</w:t>
      </w:r>
      <w:proofErr w:type="spellEnd"/>
      <w:r w:rsidRPr="008B7F94">
        <w:rPr>
          <w:i/>
          <w:iCs/>
          <w:lang w:val="en-US"/>
        </w:rPr>
        <w:t>(t)</w:t>
      </w:r>
      <w:r w:rsidRPr="008B7F94">
        <w:rPr>
          <w:lang w:val="en-US"/>
        </w:rPr>
        <w:t>:</w:t>
      </w:r>
    </w:p>
    <w:p w:rsidR="00D03C79" w:rsidRPr="008B7F94" w:rsidRDefault="00D03C79" w:rsidP="00D03C79">
      <w:pPr>
        <w:spacing w:line="360" w:lineRule="auto"/>
        <w:ind w:firstLine="510"/>
        <w:rPr>
          <w:lang w:val="en-US"/>
        </w:rPr>
      </w:pPr>
      <w:r w:rsidRPr="008B7F94">
        <w:rPr>
          <w:position w:val="-12"/>
        </w:rPr>
        <w:object w:dxaOrig="2520" w:dyaOrig="380">
          <v:shape id="_x0000_i1033" type="#_x0000_t75" style="width:110.6pt;height:18.3pt" o:ole="">
            <v:imagedata r:id="rId23" o:title=""/>
          </v:shape>
          <o:OLEObject Type="Embed" ProgID="Equation.3" ShapeID="_x0000_i1033" DrawAspect="Content" ObjectID="_1487181797" r:id="rId24"/>
        </w:object>
      </w:r>
      <w:r w:rsidRPr="008B7F94">
        <w:rPr>
          <w:lang w:val="en-US"/>
        </w:rPr>
        <w:tab/>
      </w:r>
      <w:r w:rsidRPr="008B7F94">
        <w:rPr>
          <w:lang w:val="en-US"/>
        </w:rPr>
        <w:tab/>
      </w:r>
      <w:r w:rsidRPr="008B7F94">
        <w:rPr>
          <w:lang w:val="en-US"/>
        </w:rPr>
        <w:tab/>
      </w:r>
      <w:r w:rsidRPr="008B7F94">
        <w:rPr>
          <w:lang w:val="en-US"/>
        </w:rPr>
        <w:tab/>
        <w:t>.</w:t>
      </w:r>
    </w:p>
    <w:p w:rsidR="00D03C79" w:rsidRPr="008B7F94" w:rsidRDefault="00D03C79" w:rsidP="00D03C79">
      <w:pPr>
        <w:spacing w:line="360" w:lineRule="auto"/>
        <w:ind w:firstLine="510"/>
        <w:outlineLvl w:val="0"/>
        <w:rPr>
          <w:lang w:val="en-US"/>
        </w:rPr>
      </w:pPr>
      <w:r w:rsidRPr="008B7F94">
        <w:rPr>
          <w:lang w:val="en-US"/>
        </w:rPr>
        <w:t>The channel current is</w:t>
      </w:r>
    </w:p>
    <w:p w:rsidR="00D03C79" w:rsidRPr="008B7F94" w:rsidRDefault="00D03C79" w:rsidP="00D03C79">
      <w:pPr>
        <w:spacing w:line="360" w:lineRule="auto"/>
        <w:ind w:firstLine="510"/>
        <w:rPr>
          <w:lang w:val="en-US"/>
        </w:rPr>
      </w:pPr>
      <w:r w:rsidRPr="008B7F94">
        <w:rPr>
          <w:position w:val="-36"/>
        </w:rPr>
        <w:object w:dxaOrig="3820" w:dyaOrig="859">
          <v:shape id="_x0000_i1034" type="#_x0000_t75" style="width:168.65pt;height:41.35pt" o:ole="">
            <v:imagedata r:id="rId25" o:title=""/>
          </v:shape>
          <o:OLEObject Type="Embed" ProgID="Equation.3" ShapeID="_x0000_i1034" DrawAspect="Content" ObjectID="_1487181798" r:id="rId26"/>
        </w:object>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t>(A9)</w:t>
      </w:r>
    </w:p>
    <w:p w:rsidR="00D03C79" w:rsidRPr="008B7F94" w:rsidRDefault="00D03C79" w:rsidP="00D03C79">
      <w:pPr>
        <w:spacing w:line="360" w:lineRule="auto"/>
        <w:rPr>
          <w:lang w:val="en-US"/>
        </w:rPr>
      </w:pPr>
      <w:r w:rsidRPr="008B7F94">
        <w:rPr>
          <w:lang w:val="en-US"/>
        </w:rPr>
        <w:lastRenderedPageBreak/>
        <w:t xml:space="preserve">where </w:t>
      </w:r>
      <w:proofErr w:type="spellStart"/>
      <w:r w:rsidRPr="008B7F94">
        <w:rPr>
          <w:i/>
          <w:lang w:val="en-US"/>
        </w:rPr>
        <w:t>j</w:t>
      </w:r>
      <w:r w:rsidRPr="008B7F94">
        <w:rPr>
          <w:i/>
          <w:vertAlign w:val="subscript"/>
          <w:lang w:val="en-US"/>
        </w:rPr>
        <w:t>cGmax</w:t>
      </w:r>
      <w:proofErr w:type="spellEnd"/>
      <w:r w:rsidRPr="008B7F94">
        <w:rPr>
          <w:lang w:val="en-US"/>
        </w:rPr>
        <w:t xml:space="preserve"> is maximum current through channels at saturating cGMP concentrations, </w:t>
      </w:r>
      <w:proofErr w:type="spellStart"/>
      <w:r w:rsidRPr="008B7F94">
        <w:rPr>
          <w:i/>
          <w:lang w:val="en-US"/>
        </w:rPr>
        <w:t>K</w:t>
      </w:r>
      <w:r w:rsidRPr="008B7F94">
        <w:rPr>
          <w:i/>
          <w:vertAlign w:val="subscript"/>
          <w:lang w:val="en-US"/>
        </w:rPr>
        <w:t>cG</w:t>
      </w:r>
      <w:proofErr w:type="spellEnd"/>
      <w:r w:rsidRPr="008B7F94">
        <w:rPr>
          <w:lang w:val="en-US"/>
        </w:rPr>
        <w:t xml:space="preserve"> is the half-saturating cGMP concentration (</w:t>
      </w:r>
      <w:r w:rsidRPr="008B7F94">
        <w:rPr>
          <w:rFonts w:ascii="Symbol" w:hAnsi="Symbol"/>
          <w:lang w:val="en-US"/>
        </w:rPr>
        <w:t></w:t>
      </w:r>
      <w:r w:rsidRPr="008B7F94">
        <w:rPr>
          <w:lang w:val="en-US"/>
        </w:rPr>
        <w:t xml:space="preserve">M), and </w:t>
      </w:r>
      <w:proofErr w:type="spellStart"/>
      <w:r w:rsidRPr="008B7F94">
        <w:rPr>
          <w:i/>
          <w:lang w:val="en-US"/>
        </w:rPr>
        <w:t>n</w:t>
      </w:r>
      <w:r w:rsidRPr="008B7F94">
        <w:rPr>
          <w:i/>
          <w:vertAlign w:val="subscript"/>
          <w:lang w:val="en-US"/>
        </w:rPr>
        <w:t>cG</w:t>
      </w:r>
      <w:proofErr w:type="spellEnd"/>
      <w:r w:rsidRPr="008B7F94">
        <w:rPr>
          <w:lang w:val="en-US"/>
        </w:rPr>
        <w:t xml:space="preserve"> is the Hill’s coefficient of the channels’ regulation (but see the discussion of the cone electric circuit below). </w:t>
      </w:r>
      <w:proofErr w:type="spellStart"/>
      <w:r w:rsidRPr="008B7F94">
        <w:rPr>
          <w:i/>
          <w:lang w:val="en-US"/>
        </w:rPr>
        <w:t>K</w:t>
      </w:r>
      <w:r w:rsidRPr="008B7F94">
        <w:rPr>
          <w:i/>
          <w:vertAlign w:val="subscript"/>
          <w:lang w:val="en-US"/>
        </w:rPr>
        <w:t>cG</w:t>
      </w:r>
      <w:proofErr w:type="spellEnd"/>
      <w:r w:rsidRPr="008B7F94">
        <w:rPr>
          <w:lang w:val="en-US"/>
        </w:rPr>
        <w:t xml:space="preserve"> is under Ca</w:t>
      </w:r>
      <w:r w:rsidRPr="008B7F94">
        <w:rPr>
          <w:vertAlign w:val="superscript"/>
          <w:lang w:val="en-US"/>
        </w:rPr>
        <w:t>2+</w:t>
      </w:r>
      <w:r w:rsidRPr="008B7F94">
        <w:rPr>
          <w:lang w:val="en-US"/>
        </w:rPr>
        <w:t xml:space="preserve"> control [</w:t>
      </w:r>
      <w:r w:rsidR="005D6479" w:rsidRPr="008B7F94">
        <w:rPr>
          <w:lang w:val="en-US"/>
        </w:rPr>
        <w:t>4</w:t>
      </w:r>
      <w:r w:rsidRPr="008B7F94">
        <w:rPr>
          <w:lang w:val="en-US"/>
        </w:rPr>
        <w:t>]:</w:t>
      </w:r>
    </w:p>
    <w:p w:rsidR="00D03C79" w:rsidRPr="008B7F94" w:rsidRDefault="00D03C79" w:rsidP="00D03C79">
      <w:pPr>
        <w:spacing w:line="360" w:lineRule="auto"/>
        <w:rPr>
          <w:lang w:val="en-US"/>
        </w:rPr>
      </w:pPr>
      <w:r w:rsidRPr="008B7F94">
        <w:rPr>
          <w:lang w:val="en-US"/>
        </w:rPr>
        <w:tab/>
      </w:r>
      <w:r w:rsidRPr="008B7F94">
        <w:rPr>
          <w:position w:val="-34"/>
        </w:rPr>
        <w:object w:dxaOrig="5860" w:dyaOrig="780">
          <v:shape id="_x0000_i1035" type="#_x0000_t75" style="width:258.15pt;height:37.8pt" o:ole="">
            <v:imagedata r:id="rId27" o:title=""/>
          </v:shape>
          <o:OLEObject Type="Embed" ProgID="Equation.3" ShapeID="_x0000_i1035" DrawAspect="Content" ObjectID="_1487181799" r:id="rId28"/>
        </w:object>
      </w:r>
      <w:r w:rsidRPr="008B7F94">
        <w:rPr>
          <w:lang w:val="en-US"/>
        </w:rPr>
        <w:tab/>
      </w:r>
      <w:r w:rsidRPr="008B7F94">
        <w:rPr>
          <w:lang w:val="en-US"/>
        </w:rPr>
        <w:tab/>
      </w:r>
      <w:r w:rsidRPr="008B7F94">
        <w:rPr>
          <w:lang w:val="en-US"/>
        </w:rPr>
        <w:tab/>
        <w:t>(A10)</w:t>
      </w:r>
    </w:p>
    <w:p w:rsidR="00D03C79" w:rsidRPr="008B7F94" w:rsidRDefault="00D03C79" w:rsidP="00D03C79">
      <w:pPr>
        <w:spacing w:line="360" w:lineRule="auto"/>
        <w:rPr>
          <w:rFonts w:ascii="Arial" w:hAnsi="Arial"/>
          <w:lang w:val="en-US"/>
        </w:rPr>
      </w:pPr>
      <w:r w:rsidRPr="008B7F94">
        <w:rPr>
          <w:lang w:val="en-US"/>
        </w:rPr>
        <w:t xml:space="preserve">Here </w:t>
      </w:r>
      <w:proofErr w:type="spellStart"/>
      <w:r w:rsidRPr="008B7F94">
        <w:rPr>
          <w:i/>
          <w:lang w:val="en-US"/>
        </w:rPr>
        <w:t>K</w:t>
      </w:r>
      <w:r w:rsidRPr="008B7F94">
        <w:rPr>
          <w:i/>
          <w:vertAlign w:val="subscript"/>
          <w:lang w:val="en-US"/>
        </w:rPr>
        <w:t>CaM</w:t>
      </w:r>
      <w:proofErr w:type="spellEnd"/>
      <w:r w:rsidRPr="008B7F94">
        <w:rPr>
          <w:lang w:val="en-US"/>
        </w:rPr>
        <w:t xml:space="preserve"> is the half-saturating Ca</w:t>
      </w:r>
      <w:r w:rsidRPr="008B7F94">
        <w:rPr>
          <w:vertAlign w:val="superscript"/>
          <w:lang w:val="en-US"/>
        </w:rPr>
        <w:t>2+</w:t>
      </w:r>
      <w:r w:rsidRPr="008B7F94">
        <w:rPr>
          <w:lang w:val="en-US"/>
        </w:rPr>
        <w:t xml:space="preserve"> concentration for </w:t>
      </w:r>
      <w:proofErr w:type="spellStart"/>
      <w:r w:rsidRPr="008B7F94">
        <w:rPr>
          <w:i/>
          <w:lang w:val="en-US"/>
        </w:rPr>
        <w:t>K</w:t>
      </w:r>
      <w:r w:rsidRPr="008B7F94">
        <w:rPr>
          <w:i/>
          <w:vertAlign w:val="subscript"/>
          <w:lang w:val="en-US"/>
        </w:rPr>
        <w:t>cG</w:t>
      </w:r>
      <w:proofErr w:type="spellEnd"/>
      <w:r w:rsidRPr="008B7F94">
        <w:rPr>
          <w:lang w:val="en-US"/>
        </w:rPr>
        <w:t xml:space="preserve"> modulation.</w:t>
      </w:r>
    </w:p>
    <w:p w:rsidR="00D03C79" w:rsidRPr="008B7F94" w:rsidRDefault="00D03C79" w:rsidP="00D03C79">
      <w:pPr>
        <w:spacing w:line="360" w:lineRule="auto"/>
        <w:ind w:firstLine="510"/>
        <w:outlineLvl w:val="0"/>
        <w:rPr>
          <w:lang w:val="en-US"/>
        </w:rPr>
      </w:pPr>
      <w:r w:rsidRPr="008B7F94">
        <w:rPr>
          <w:rFonts w:ascii="Arial" w:hAnsi="Arial"/>
          <w:lang w:val="en-US"/>
        </w:rPr>
        <w:t xml:space="preserve"> </w:t>
      </w:r>
      <w:r w:rsidRPr="008B7F94">
        <w:rPr>
          <w:lang w:val="en-US"/>
        </w:rPr>
        <w:t>Free Ca</w:t>
      </w:r>
      <w:r w:rsidRPr="008B7F94">
        <w:rPr>
          <w:vertAlign w:val="superscript"/>
          <w:lang w:val="en-US"/>
        </w:rPr>
        <w:t>2+</w:t>
      </w:r>
      <w:r w:rsidRPr="008B7F94">
        <w:rPr>
          <w:lang w:val="en-US"/>
        </w:rPr>
        <w:t xml:space="preserve"> turnover is described by</w:t>
      </w:r>
    </w:p>
    <w:p w:rsidR="00D03C79" w:rsidRPr="008B7F94" w:rsidRDefault="00D03C79" w:rsidP="00D03C79">
      <w:pPr>
        <w:spacing w:line="360" w:lineRule="auto"/>
        <w:rPr>
          <w:rFonts w:ascii="Arial" w:hAnsi="Arial"/>
          <w:lang w:val="en-US"/>
        </w:rPr>
      </w:pPr>
      <w:r w:rsidRPr="008B7F94">
        <w:rPr>
          <w:position w:val="-40"/>
        </w:rPr>
        <w:object w:dxaOrig="6320" w:dyaOrig="940">
          <v:shape id="_x0000_i1036" type="#_x0000_t75" style="width:315.85pt;height:46.55pt" o:ole="">
            <v:imagedata r:id="rId29" o:title=""/>
          </v:shape>
          <o:OLEObject Type="Embed" ProgID="Equation.3" ShapeID="_x0000_i1036" DrawAspect="Content" ObjectID="_1487181800" r:id="rId30"/>
        </w:object>
      </w:r>
      <w:r w:rsidRPr="008B7F94">
        <w:rPr>
          <w:lang w:val="en-US"/>
        </w:rPr>
        <w:t xml:space="preserve"> </w:t>
      </w:r>
      <w:r w:rsidRPr="008B7F94">
        <w:rPr>
          <w:lang w:val="en-US"/>
        </w:rPr>
        <w:tab/>
      </w:r>
      <w:r w:rsidRPr="008B7F94">
        <w:rPr>
          <w:lang w:val="en-US"/>
        </w:rPr>
        <w:tab/>
        <w:t>(A11).</w:t>
      </w:r>
    </w:p>
    <w:p w:rsidR="00D03C79" w:rsidRPr="008B7F94" w:rsidRDefault="00D03C79" w:rsidP="00D03C79">
      <w:pPr>
        <w:spacing w:line="360" w:lineRule="auto"/>
        <w:rPr>
          <w:rFonts w:ascii="Arial" w:hAnsi="Arial" w:cs="Arial"/>
          <w:lang w:val="en-US"/>
        </w:rPr>
      </w:pPr>
      <w:r w:rsidRPr="008B7F94">
        <w:rPr>
          <w:rFonts w:ascii="Arial" w:hAnsi="Arial" w:cs="Arial"/>
          <w:lang w:val="en-US"/>
        </w:rPr>
        <w:tab/>
      </w:r>
      <w:r w:rsidRPr="008B7F94">
        <w:rPr>
          <w:lang w:val="en-US"/>
        </w:rPr>
        <w:t>The first term in the parentheses is the net Ca</w:t>
      </w:r>
      <w:r w:rsidRPr="008B7F94">
        <w:rPr>
          <w:vertAlign w:val="superscript"/>
          <w:lang w:val="en-US"/>
        </w:rPr>
        <w:t>2+</w:t>
      </w:r>
      <w:r w:rsidRPr="008B7F94">
        <w:rPr>
          <w:lang w:val="en-US"/>
        </w:rPr>
        <w:t xml:space="preserve"> transfer across the plasma membrane, which is the difference between the influx through the </w:t>
      </w:r>
      <w:r w:rsidR="0001081A" w:rsidRPr="008B7F94">
        <w:rPr>
          <w:lang w:val="en-US"/>
        </w:rPr>
        <w:t>cGMP-gated (</w:t>
      </w:r>
      <w:r w:rsidRPr="008B7F94">
        <w:rPr>
          <w:lang w:val="en-US"/>
        </w:rPr>
        <w:t>CNG</w:t>
      </w:r>
      <w:r w:rsidR="0001081A" w:rsidRPr="008B7F94">
        <w:rPr>
          <w:lang w:val="en-US"/>
        </w:rPr>
        <w:t>)</w:t>
      </w:r>
      <w:r w:rsidRPr="008B7F94">
        <w:rPr>
          <w:lang w:val="en-US"/>
        </w:rPr>
        <w:t xml:space="preserve"> channels, and the efflux via the Na</w:t>
      </w:r>
      <w:r w:rsidRPr="008B7F94">
        <w:rPr>
          <w:vertAlign w:val="superscript"/>
          <w:lang w:val="en-US"/>
        </w:rPr>
        <w:t>+</w:t>
      </w:r>
      <w:r w:rsidRPr="008B7F94">
        <w:rPr>
          <w:lang w:val="en-US"/>
        </w:rPr>
        <w:t>/Ca</w:t>
      </w:r>
      <w:r w:rsidRPr="008B7F94">
        <w:rPr>
          <w:vertAlign w:val="superscript"/>
          <w:lang w:val="en-US"/>
        </w:rPr>
        <w:t>2+</w:t>
      </w:r>
      <w:r w:rsidRPr="008B7F94">
        <w:rPr>
          <w:lang w:val="en-US"/>
        </w:rPr>
        <w:t>-K</w:t>
      </w:r>
      <w:r w:rsidRPr="008B7F94">
        <w:rPr>
          <w:vertAlign w:val="superscript"/>
          <w:lang w:val="en-US"/>
        </w:rPr>
        <w:t>+</w:t>
      </w:r>
      <w:r w:rsidRPr="008B7F94">
        <w:rPr>
          <w:lang w:val="en-US"/>
        </w:rPr>
        <w:t xml:space="preserve"> exchanger. </w:t>
      </w:r>
      <w:proofErr w:type="spellStart"/>
      <w:proofErr w:type="gramStart"/>
      <w:r w:rsidRPr="008B7F94">
        <w:rPr>
          <w:i/>
          <w:lang w:val="en-US"/>
        </w:rPr>
        <w:t>f</w:t>
      </w:r>
      <w:r w:rsidRPr="008B7F94">
        <w:rPr>
          <w:i/>
          <w:vertAlign w:val="subscript"/>
          <w:lang w:val="en-US"/>
        </w:rPr>
        <w:t>Ca</w:t>
      </w:r>
      <w:proofErr w:type="spellEnd"/>
      <w:proofErr w:type="gramEnd"/>
      <w:r w:rsidRPr="008B7F94">
        <w:rPr>
          <w:lang w:val="en-US"/>
        </w:rPr>
        <w:t xml:space="preserve"> is the fraction of the channel current carried by Ca</w:t>
      </w:r>
      <w:r w:rsidRPr="008B7F94">
        <w:rPr>
          <w:vertAlign w:val="superscript"/>
          <w:lang w:val="en-US"/>
        </w:rPr>
        <w:t>2+</w:t>
      </w:r>
      <w:r w:rsidRPr="008B7F94">
        <w:rPr>
          <w:lang w:val="en-US"/>
        </w:rPr>
        <w:t xml:space="preserve">, </w:t>
      </w:r>
      <w:proofErr w:type="spellStart"/>
      <w:r w:rsidRPr="008B7F94">
        <w:rPr>
          <w:i/>
          <w:lang w:val="en-US"/>
        </w:rPr>
        <w:t>j</w:t>
      </w:r>
      <w:r w:rsidRPr="008B7F94">
        <w:rPr>
          <w:i/>
          <w:vertAlign w:val="subscript"/>
          <w:lang w:val="en-US"/>
        </w:rPr>
        <w:t>ex</w:t>
      </w:r>
      <w:proofErr w:type="spellEnd"/>
      <w:r w:rsidRPr="008B7F94">
        <w:rPr>
          <w:lang w:val="en-US"/>
        </w:rPr>
        <w:t xml:space="preserve"> is Ca</w:t>
      </w:r>
      <w:r w:rsidRPr="008B7F94">
        <w:rPr>
          <w:vertAlign w:val="superscript"/>
          <w:lang w:val="en-US"/>
        </w:rPr>
        <w:t>2+</w:t>
      </w:r>
      <w:r w:rsidRPr="008B7F94">
        <w:rPr>
          <w:lang w:val="en-US"/>
        </w:rPr>
        <w:t xml:space="preserve"> extrusion current carried by the exchanger, and </w:t>
      </w:r>
      <w:r w:rsidRPr="008B7F94">
        <w:rPr>
          <w:rFonts w:ascii="Arial" w:hAnsi="Arial" w:cs="Arial"/>
          <w:position w:val="-6"/>
        </w:rPr>
        <w:object w:dxaOrig="240" w:dyaOrig="279">
          <v:shape id="_x0000_i1037" type="#_x0000_t75" style="width:12.35pt;height:13.9pt" o:ole="">
            <v:imagedata r:id="rId31" o:title=""/>
          </v:shape>
          <o:OLEObject Type="Embed" ProgID="Equation.3" ShapeID="_x0000_i1037" DrawAspect="Content" ObjectID="_1487181801" r:id="rId32"/>
        </w:object>
      </w:r>
      <w:r w:rsidRPr="008B7F94">
        <w:rPr>
          <w:rFonts w:ascii="Arial" w:hAnsi="Arial" w:cs="Arial"/>
          <w:lang w:val="en-US"/>
        </w:rPr>
        <w:t xml:space="preserve"> </w:t>
      </w:r>
      <w:r w:rsidRPr="008B7F94">
        <w:rPr>
          <w:lang w:val="en-US"/>
        </w:rPr>
        <w:t>is Faraday’s number. In accordance with experimental data on amphibian rods [</w:t>
      </w:r>
      <w:r w:rsidR="005D6479" w:rsidRPr="008B7F94">
        <w:rPr>
          <w:lang w:val="en-US"/>
        </w:rPr>
        <w:t>29 - 31</w:t>
      </w:r>
      <w:r w:rsidRPr="008B7F94">
        <w:rPr>
          <w:lang w:val="en-US"/>
        </w:rPr>
        <w:t>], outer segments are supposed to contain two-component Ca</w:t>
      </w:r>
      <w:r w:rsidRPr="008B7F94">
        <w:rPr>
          <w:vertAlign w:val="superscript"/>
          <w:lang w:val="en-US"/>
        </w:rPr>
        <w:t>2+</w:t>
      </w:r>
      <w:r w:rsidRPr="008B7F94">
        <w:rPr>
          <w:lang w:val="en-US"/>
        </w:rPr>
        <w:t xml:space="preserve"> buffer. One of the components exchanges with free Ca</w:t>
      </w:r>
      <w:r w:rsidRPr="008B7F94">
        <w:rPr>
          <w:vertAlign w:val="superscript"/>
          <w:lang w:val="en-US"/>
        </w:rPr>
        <w:t>2+</w:t>
      </w:r>
      <w:r w:rsidRPr="008B7F94">
        <w:rPr>
          <w:lang w:val="en-US"/>
        </w:rPr>
        <w:t xml:space="preserve"> quickly, so its effect on free Ca</w:t>
      </w:r>
      <w:r w:rsidRPr="008B7F94">
        <w:rPr>
          <w:vertAlign w:val="superscript"/>
          <w:lang w:val="en-US"/>
        </w:rPr>
        <w:t>2+</w:t>
      </w:r>
      <w:r w:rsidRPr="008B7F94">
        <w:rPr>
          <w:lang w:val="en-US"/>
        </w:rPr>
        <w:t xml:space="preserve"> turnover can simply be characterized by its buffering power, </w:t>
      </w:r>
      <w:r w:rsidRPr="008B7F94">
        <w:rPr>
          <w:i/>
          <w:iCs/>
          <w:lang w:val="en-US"/>
        </w:rPr>
        <w:t>FB</w:t>
      </w:r>
      <w:r w:rsidRPr="008B7F94">
        <w:rPr>
          <w:lang w:val="en-US"/>
        </w:rPr>
        <w:t xml:space="preserve"> [</w:t>
      </w:r>
      <w:r w:rsidR="005D6479" w:rsidRPr="008B7F94">
        <w:rPr>
          <w:lang w:val="en-US"/>
        </w:rPr>
        <w:t>32</w:t>
      </w:r>
      <w:r w:rsidRPr="008B7F94">
        <w:rPr>
          <w:lang w:val="en-US"/>
        </w:rPr>
        <w:t xml:space="preserve">]. The second, slowly exchangeable component </w:t>
      </w:r>
      <w:proofErr w:type="spellStart"/>
      <w:r w:rsidRPr="008B7F94">
        <w:rPr>
          <w:i/>
          <w:lang w:val="en-US"/>
        </w:rPr>
        <w:t>Ca</w:t>
      </w:r>
      <w:r w:rsidRPr="008B7F94">
        <w:rPr>
          <w:i/>
          <w:vertAlign w:val="subscript"/>
          <w:lang w:val="en-US"/>
        </w:rPr>
        <w:t>Bslow</w:t>
      </w:r>
      <w:proofErr w:type="spellEnd"/>
      <w:r w:rsidRPr="008B7F94">
        <w:rPr>
          <w:lang w:val="en-US"/>
        </w:rPr>
        <w:t xml:space="preserve"> is characterized by its total binding capacity </w:t>
      </w:r>
      <w:proofErr w:type="spellStart"/>
      <w:r w:rsidRPr="008B7F94">
        <w:rPr>
          <w:i/>
          <w:lang w:val="en-US"/>
        </w:rPr>
        <w:t>B</w:t>
      </w:r>
      <w:r w:rsidRPr="008B7F94">
        <w:rPr>
          <w:i/>
          <w:vertAlign w:val="subscript"/>
          <w:lang w:val="en-US"/>
        </w:rPr>
        <w:t>max</w:t>
      </w:r>
      <w:proofErr w:type="spellEnd"/>
      <w:r w:rsidRPr="008B7F94">
        <w:rPr>
          <w:lang w:val="en-US"/>
        </w:rPr>
        <w:t xml:space="preserve">, and two rate constants, </w:t>
      </w:r>
      <w:r w:rsidRPr="008B7F94">
        <w:rPr>
          <w:i/>
          <w:lang w:val="en-US"/>
        </w:rPr>
        <w:t>k</w:t>
      </w:r>
      <w:r w:rsidRPr="008B7F94">
        <w:rPr>
          <w:i/>
          <w:vertAlign w:val="subscript"/>
          <w:lang w:val="en-US"/>
        </w:rPr>
        <w:t>+1</w:t>
      </w:r>
      <w:r w:rsidRPr="008B7F94">
        <w:rPr>
          <w:lang w:val="en-US"/>
        </w:rPr>
        <w:t xml:space="preserve"> for binding and </w:t>
      </w:r>
      <w:r w:rsidRPr="008B7F94">
        <w:rPr>
          <w:i/>
          <w:lang w:val="en-US"/>
        </w:rPr>
        <w:t>k</w:t>
      </w:r>
      <w:r w:rsidRPr="008B7F94">
        <w:rPr>
          <w:i/>
          <w:vertAlign w:val="subscript"/>
          <w:lang w:val="en-US"/>
        </w:rPr>
        <w:t>-1</w:t>
      </w:r>
      <w:r w:rsidRPr="008B7F94">
        <w:rPr>
          <w:lang w:val="en-US"/>
        </w:rPr>
        <w:t xml:space="preserve"> for releasing Ca</w:t>
      </w:r>
      <w:r w:rsidRPr="008B7F94">
        <w:rPr>
          <w:vertAlign w:val="superscript"/>
          <w:lang w:val="en-US"/>
        </w:rPr>
        <w:t>2+</w:t>
      </w:r>
      <w:r w:rsidRPr="008B7F94">
        <w:rPr>
          <w:lang w:val="en-US"/>
        </w:rPr>
        <w:t>. The concentration of calcium bound to slow buffer,</w:t>
      </w:r>
      <w:r w:rsidRPr="008B7F94">
        <w:rPr>
          <w:i/>
          <w:lang w:val="en-US"/>
        </w:rPr>
        <w:t xml:space="preserve"> </w:t>
      </w:r>
      <w:proofErr w:type="spellStart"/>
      <w:proofErr w:type="gramStart"/>
      <w:r w:rsidRPr="008B7F94">
        <w:rPr>
          <w:i/>
          <w:lang w:val="en-US"/>
        </w:rPr>
        <w:t>Ca</w:t>
      </w:r>
      <w:r w:rsidRPr="008B7F94">
        <w:rPr>
          <w:i/>
          <w:vertAlign w:val="subscript"/>
          <w:lang w:val="en-US"/>
        </w:rPr>
        <w:t>Bslow</w:t>
      </w:r>
      <w:proofErr w:type="spellEnd"/>
      <w:r w:rsidRPr="008B7F94">
        <w:rPr>
          <w:i/>
          <w:lang w:val="en-US"/>
        </w:rPr>
        <w:t>(</w:t>
      </w:r>
      <w:proofErr w:type="gramEnd"/>
      <w:r w:rsidRPr="008B7F94">
        <w:rPr>
          <w:i/>
          <w:lang w:val="en-US"/>
        </w:rPr>
        <w:t>t)</w:t>
      </w:r>
      <w:r w:rsidRPr="008B7F94">
        <w:rPr>
          <w:lang w:val="en-US"/>
        </w:rPr>
        <w:t>, is</w:t>
      </w:r>
      <w:r w:rsidRPr="008B7F94">
        <w:rPr>
          <w:rFonts w:ascii="Arial" w:hAnsi="Arial" w:cs="Arial"/>
          <w:lang w:val="en-US"/>
        </w:rPr>
        <w:t xml:space="preserve"> </w:t>
      </w:r>
    </w:p>
    <w:p w:rsidR="00D03C79" w:rsidRPr="008B7F94" w:rsidRDefault="00D03C79" w:rsidP="00D03C79">
      <w:pPr>
        <w:spacing w:line="360" w:lineRule="auto"/>
        <w:ind w:firstLine="720"/>
        <w:rPr>
          <w:lang w:val="en-US"/>
        </w:rPr>
      </w:pPr>
      <w:r w:rsidRPr="008B7F94">
        <w:rPr>
          <w:position w:val="-26"/>
        </w:rPr>
        <w:object w:dxaOrig="6880" w:dyaOrig="700">
          <v:shape id="_x0000_i1038" type="#_x0000_t75" style="width:343.3pt;height:35pt" o:ole="">
            <v:imagedata r:id="rId33" o:title=""/>
          </v:shape>
          <o:OLEObject Type="Embed" ProgID="Equation.3" ShapeID="_x0000_i1038" DrawAspect="Content" ObjectID="_1487181802" r:id="rId34"/>
        </w:object>
      </w:r>
      <w:r w:rsidRPr="008B7F94">
        <w:rPr>
          <w:lang w:val="en-US"/>
        </w:rPr>
        <w:tab/>
      </w:r>
      <w:r w:rsidRPr="008B7F94">
        <w:rPr>
          <w:lang w:val="en-US"/>
        </w:rPr>
        <w:tab/>
        <w:t>(A12).</w:t>
      </w:r>
    </w:p>
    <w:p w:rsidR="00D03C79" w:rsidRPr="008B7F94" w:rsidRDefault="00D03C79" w:rsidP="00D03C79">
      <w:pPr>
        <w:spacing w:line="360" w:lineRule="auto"/>
        <w:rPr>
          <w:lang w:val="en-US"/>
        </w:rPr>
      </w:pPr>
      <w:r w:rsidRPr="008B7F94">
        <w:rPr>
          <w:lang w:val="en-US"/>
        </w:rPr>
        <w:t xml:space="preserve">The exchanger current is described by </w:t>
      </w:r>
      <w:proofErr w:type="spellStart"/>
      <w:r w:rsidRPr="008B7F94">
        <w:rPr>
          <w:lang w:val="en-US"/>
        </w:rPr>
        <w:t>Michaelis</w:t>
      </w:r>
      <w:proofErr w:type="spellEnd"/>
      <w:r w:rsidRPr="008B7F94">
        <w:rPr>
          <w:lang w:val="en-US"/>
        </w:rPr>
        <w:t>-like equation [</w:t>
      </w:r>
      <w:r w:rsidR="005D6479" w:rsidRPr="008B7F94">
        <w:rPr>
          <w:lang w:val="en-US"/>
        </w:rPr>
        <w:t>33</w:t>
      </w:r>
      <w:r w:rsidRPr="008B7F94">
        <w:rPr>
          <w:lang w:val="en-US"/>
        </w:rPr>
        <w:t>]:</w:t>
      </w:r>
    </w:p>
    <w:p w:rsidR="00D03C79" w:rsidRPr="008B7F94" w:rsidRDefault="00D03C79" w:rsidP="00D03C79">
      <w:pPr>
        <w:spacing w:line="360" w:lineRule="auto"/>
        <w:rPr>
          <w:lang w:val="en-US"/>
        </w:rPr>
      </w:pPr>
      <w:r w:rsidRPr="008B7F94">
        <w:rPr>
          <w:position w:val="-34"/>
        </w:rPr>
        <w:object w:dxaOrig="2920" w:dyaOrig="780">
          <v:shape id="_x0000_i1039" type="#_x0000_t75" style="width:145.6pt;height:39.4pt" o:ole="">
            <v:imagedata r:id="rId35" o:title=""/>
          </v:shape>
          <o:OLEObject Type="Embed" ProgID="Equation.3" ShapeID="_x0000_i1039" DrawAspect="Content" ObjectID="_1487181803" r:id="rId36"/>
        </w:object>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t>(A13).</w:t>
      </w:r>
    </w:p>
    <w:p w:rsidR="00D03C79" w:rsidRPr="008B7F94" w:rsidRDefault="00D03C79" w:rsidP="00D03C79">
      <w:pPr>
        <w:spacing w:line="360" w:lineRule="auto"/>
        <w:rPr>
          <w:lang w:val="en-US"/>
        </w:rPr>
      </w:pPr>
      <w:r w:rsidRPr="008B7F94">
        <w:rPr>
          <w:lang w:val="en-US"/>
        </w:rPr>
        <w:t xml:space="preserve">Here </w:t>
      </w:r>
      <w:proofErr w:type="spellStart"/>
      <w:r w:rsidRPr="008B7F94">
        <w:rPr>
          <w:i/>
          <w:lang w:val="en-US"/>
        </w:rPr>
        <w:t>j</w:t>
      </w:r>
      <w:r w:rsidRPr="008B7F94">
        <w:rPr>
          <w:i/>
          <w:vertAlign w:val="subscript"/>
          <w:lang w:val="en-US"/>
        </w:rPr>
        <w:t>exsat</w:t>
      </w:r>
      <w:proofErr w:type="spellEnd"/>
      <w:r w:rsidRPr="008B7F94">
        <w:rPr>
          <w:lang w:val="en-US"/>
        </w:rPr>
        <w:t xml:space="preserve"> is the maximum exchanger current at high Ca</w:t>
      </w:r>
      <w:r w:rsidRPr="008B7F94">
        <w:rPr>
          <w:vertAlign w:val="superscript"/>
          <w:lang w:val="en-US"/>
        </w:rPr>
        <w:t>2+</w:t>
      </w:r>
      <w:r w:rsidRPr="008B7F94">
        <w:rPr>
          <w:lang w:val="en-US"/>
        </w:rPr>
        <w:t xml:space="preserve">, and </w:t>
      </w:r>
      <w:proofErr w:type="spellStart"/>
      <w:r w:rsidRPr="008B7F94">
        <w:rPr>
          <w:i/>
          <w:lang w:val="en-US"/>
        </w:rPr>
        <w:t>K</w:t>
      </w:r>
      <w:r w:rsidRPr="008B7F94">
        <w:rPr>
          <w:i/>
          <w:vertAlign w:val="subscript"/>
          <w:lang w:val="en-US"/>
        </w:rPr>
        <w:t>ex</w:t>
      </w:r>
      <w:proofErr w:type="spellEnd"/>
      <w:r w:rsidRPr="008B7F94">
        <w:rPr>
          <w:lang w:val="en-US"/>
        </w:rPr>
        <w:t xml:space="preserve"> is the half-saturating free Ca</w:t>
      </w:r>
      <w:r w:rsidRPr="008B7F94">
        <w:rPr>
          <w:vertAlign w:val="superscript"/>
          <w:lang w:val="en-US"/>
        </w:rPr>
        <w:t>2+</w:t>
      </w:r>
      <w:r w:rsidRPr="008B7F94">
        <w:rPr>
          <w:lang w:val="en-US"/>
        </w:rPr>
        <w:t xml:space="preserve"> concentration.</w:t>
      </w:r>
    </w:p>
    <w:p w:rsidR="00D03C79" w:rsidRPr="008B7F94" w:rsidRDefault="00D03C79" w:rsidP="00D03C79">
      <w:pPr>
        <w:spacing w:line="360" w:lineRule="auto"/>
        <w:rPr>
          <w:rFonts w:ascii="Arial" w:hAnsi="Arial"/>
          <w:lang w:val="en-US"/>
        </w:rPr>
      </w:pPr>
    </w:p>
    <w:p w:rsidR="00D03C79" w:rsidRPr="008B7F94" w:rsidRDefault="00D03C79" w:rsidP="00D03C79">
      <w:pPr>
        <w:spacing w:line="360" w:lineRule="auto"/>
        <w:outlineLvl w:val="0"/>
        <w:rPr>
          <w:lang w:val="en-US"/>
        </w:rPr>
      </w:pPr>
      <w:r w:rsidRPr="008B7F94">
        <w:rPr>
          <w:i/>
          <w:lang w:val="en-US"/>
        </w:rPr>
        <w:t xml:space="preserve">Cone electric circuit and filtering of the response by membrane capacitances: </w:t>
      </w:r>
      <w:r w:rsidRPr="008B7F94">
        <w:rPr>
          <w:lang w:val="en-US"/>
        </w:rPr>
        <w:t>We consider two possible electric circuits of a cone that differ in how the cGMP-gated OS conductance is treated. In one scheme, the cone OS membrane is supposed to possess the Current-vs.-Voltage relation (</w:t>
      </w:r>
      <w:r w:rsidRPr="008B7F94">
        <w:rPr>
          <w:i/>
          <w:lang w:val="en-US"/>
        </w:rPr>
        <w:t>I-V</w:t>
      </w:r>
      <w:r w:rsidRPr="008B7F94">
        <w:rPr>
          <w:lang w:val="en-US"/>
        </w:rPr>
        <w:t xml:space="preserve"> relation) similar to that in rods. Baylor &amp; Nunn [</w:t>
      </w:r>
      <w:r w:rsidR="005D6479" w:rsidRPr="008B7F94">
        <w:rPr>
          <w:lang w:val="en-US"/>
        </w:rPr>
        <w:t>34</w:t>
      </w:r>
      <w:r w:rsidRPr="008B7F94">
        <w:rPr>
          <w:lang w:val="en-US"/>
        </w:rPr>
        <w:t xml:space="preserve">] have shown that in salamander </w:t>
      </w:r>
      <w:r w:rsidR="00593A5A" w:rsidRPr="008B7F94">
        <w:rPr>
          <w:lang w:val="en-US"/>
        </w:rPr>
        <w:t xml:space="preserve">rod </w:t>
      </w:r>
      <w:r w:rsidRPr="008B7F94">
        <w:rPr>
          <w:lang w:val="en-US"/>
        </w:rPr>
        <w:t xml:space="preserve">OS the </w:t>
      </w:r>
      <w:r w:rsidRPr="008B7F94">
        <w:rPr>
          <w:i/>
          <w:lang w:val="en-US"/>
        </w:rPr>
        <w:t>I-V</w:t>
      </w:r>
      <w:r w:rsidRPr="008B7F94">
        <w:rPr>
          <w:lang w:val="en-US"/>
        </w:rPr>
        <w:t xml:space="preserve"> relation is strongly non-linear in such a way that the membrane current is only weakly dependent on the membrane voltage within the normal function range. This means that the slope </w:t>
      </w:r>
      <w:r w:rsidRPr="008B7F94">
        <w:rPr>
          <w:lang w:val="en-US"/>
        </w:rPr>
        <w:lastRenderedPageBreak/>
        <w:t>resistance of the OS membrane is much higher than the (slope) resistance of the inner segment. Then the OS membrane can be considered as a light-dependent current source (</w:t>
      </w:r>
      <w:proofErr w:type="spellStart"/>
      <w:r w:rsidRPr="008B7F94">
        <w:rPr>
          <w:i/>
          <w:lang w:val="en-US"/>
        </w:rPr>
        <w:t>j</w:t>
      </w:r>
      <w:r w:rsidRPr="008B7F94">
        <w:rPr>
          <w:i/>
          <w:vertAlign w:val="subscript"/>
          <w:lang w:val="en-US"/>
        </w:rPr>
        <w:t>P</w:t>
      </w:r>
      <w:proofErr w:type="spellEnd"/>
      <w:r w:rsidRPr="008B7F94">
        <w:rPr>
          <w:lang w:val="en-US"/>
        </w:rPr>
        <w:t xml:space="preserve"> in Figure A1A) which is the sum of the voltage-independent current through the CNG channels (</w:t>
      </w:r>
      <w:proofErr w:type="spellStart"/>
      <w:proofErr w:type="gramStart"/>
      <w:r w:rsidRPr="008B7F94">
        <w:rPr>
          <w:i/>
          <w:lang w:val="en-US"/>
        </w:rPr>
        <w:t>j</w:t>
      </w:r>
      <w:r w:rsidRPr="008B7F94">
        <w:rPr>
          <w:i/>
          <w:vertAlign w:val="subscript"/>
          <w:lang w:val="en-US"/>
        </w:rPr>
        <w:t>cG</w:t>
      </w:r>
      <w:proofErr w:type="spellEnd"/>
      <w:r w:rsidRPr="008B7F94">
        <w:rPr>
          <w:i/>
          <w:lang w:val="en-US"/>
        </w:rPr>
        <w:t>(</w:t>
      </w:r>
      <w:proofErr w:type="gramEnd"/>
      <w:r w:rsidRPr="008B7F94">
        <w:rPr>
          <w:i/>
          <w:lang w:val="en-US"/>
        </w:rPr>
        <w:t>t)</w:t>
      </w:r>
      <w:r w:rsidRPr="008B7F94">
        <w:rPr>
          <w:lang w:val="en-US"/>
        </w:rPr>
        <w:t xml:space="preserve"> in equation (A9)) and the exchanger current</w:t>
      </w:r>
      <w:r w:rsidRPr="008B7F94">
        <w:rPr>
          <w:i/>
          <w:lang w:val="en-US"/>
        </w:rPr>
        <w:t xml:space="preserve"> </w:t>
      </w:r>
      <w:proofErr w:type="spellStart"/>
      <w:r w:rsidRPr="008B7F94">
        <w:rPr>
          <w:i/>
          <w:lang w:val="en-US"/>
        </w:rPr>
        <w:t>j</w:t>
      </w:r>
      <w:r w:rsidRPr="008B7F94">
        <w:rPr>
          <w:i/>
          <w:vertAlign w:val="subscript"/>
          <w:lang w:val="en-US"/>
        </w:rPr>
        <w:t>ex</w:t>
      </w:r>
      <w:proofErr w:type="spellEnd"/>
      <w:r w:rsidRPr="008B7F94">
        <w:rPr>
          <w:i/>
          <w:lang w:val="en-US"/>
        </w:rPr>
        <w:t>(t)</w:t>
      </w:r>
      <w:r w:rsidRPr="008B7F94">
        <w:rPr>
          <w:lang w:val="en-US"/>
        </w:rPr>
        <w:t xml:space="preserve"> (equation (A13)). </w:t>
      </w:r>
    </w:p>
    <w:p w:rsidR="00D03C79" w:rsidRPr="008B7F94" w:rsidRDefault="00D03C79" w:rsidP="00D03C79">
      <w:pPr>
        <w:spacing w:line="360" w:lineRule="auto"/>
        <w:rPr>
          <w:lang w:val="en-US"/>
        </w:rPr>
      </w:pPr>
      <w:r w:rsidRPr="008B7F94">
        <w:rPr>
          <w:lang w:val="en-US"/>
        </w:rPr>
        <w:tab/>
        <w:t>Alternatively, Soo et al. [</w:t>
      </w:r>
      <w:r w:rsidR="005D6479" w:rsidRPr="008B7F94">
        <w:rPr>
          <w:lang w:val="en-US"/>
        </w:rPr>
        <w:t>5</w:t>
      </w:r>
      <w:r w:rsidRPr="008B7F94">
        <w:rPr>
          <w:lang w:val="en-US"/>
        </w:rPr>
        <w:t xml:space="preserve">] results suggest that the </w:t>
      </w:r>
      <w:r w:rsidRPr="008B7F94">
        <w:rPr>
          <w:i/>
          <w:lang w:val="en-US"/>
        </w:rPr>
        <w:t>I-V</w:t>
      </w:r>
      <w:r w:rsidRPr="008B7F94">
        <w:rPr>
          <w:lang w:val="en-US"/>
        </w:rPr>
        <w:t xml:space="preserve"> relation both of the </w:t>
      </w:r>
      <w:r w:rsidR="00171B76" w:rsidRPr="008B7F94">
        <w:rPr>
          <w:lang w:val="en-US"/>
        </w:rPr>
        <w:t>inner segment (</w:t>
      </w:r>
      <w:r w:rsidRPr="008B7F94">
        <w:rPr>
          <w:lang w:val="en-US"/>
        </w:rPr>
        <w:t>IS</w:t>
      </w:r>
      <w:r w:rsidR="00171B76" w:rsidRPr="008B7F94">
        <w:rPr>
          <w:lang w:val="en-US"/>
        </w:rPr>
        <w:t>)</w:t>
      </w:r>
      <w:r w:rsidRPr="008B7F94">
        <w:rPr>
          <w:lang w:val="en-US"/>
        </w:rPr>
        <w:t xml:space="preserve"> and the OS in cones is approximately linear. Then the circuit of Figure A1B should be used. Here the outer segment is represented by a light-dependent linear resistance </w:t>
      </w:r>
      <w:r w:rsidRPr="008B7F94">
        <w:rPr>
          <w:i/>
          <w:lang w:val="en-US"/>
        </w:rPr>
        <w:t>R</w:t>
      </w:r>
      <w:r w:rsidRPr="008B7F94">
        <w:rPr>
          <w:i/>
          <w:vertAlign w:val="subscript"/>
          <w:lang w:val="en-US"/>
        </w:rPr>
        <w:t>o</w:t>
      </w:r>
      <w:r w:rsidRPr="008B7F94">
        <w:rPr>
          <w:lang w:val="en-US"/>
        </w:rPr>
        <w:t xml:space="preserve"> that conducts the cGMP-gated channel current </w:t>
      </w:r>
      <w:proofErr w:type="spellStart"/>
      <w:proofErr w:type="gramStart"/>
      <w:r w:rsidRPr="008B7F94">
        <w:rPr>
          <w:i/>
          <w:lang w:val="en-US"/>
        </w:rPr>
        <w:t>j</w:t>
      </w:r>
      <w:r w:rsidRPr="008B7F94">
        <w:rPr>
          <w:i/>
          <w:vertAlign w:val="subscript"/>
          <w:lang w:val="en-US"/>
        </w:rPr>
        <w:t>cG</w:t>
      </w:r>
      <w:proofErr w:type="spellEnd"/>
      <w:r w:rsidRPr="008B7F94">
        <w:rPr>
          <w:i/>
          <w:lang w:val="en-US"/>
        </w:rPr>
        <w:t>(</w:t>
      </w:r>
      <w:proofErr w:type="gramEnd"/>
      <w:r w:rsidRPr="008B7F94">
        <w:rPr>
          <w:i/>
          <w:lang w:val="en-US"/>
        </w:rPr>
        <w:t>t)</w:t>
      </w:r>
      <w:r w:rsidRPr="008B7F94">
        <w:rPr>
          <w:lang w:val="en-US"/>
        </w:rPr>
        <w:t xml:space="preserve">. The exchanger current which is only weakly voltage-dependent is still treated as a current source </w:t>
      </w:r>
      <w:proofErr w:type="spellStart"/>
      <w:proofErr w:type="gramStart"/>
      <w:r w:rsidRPr="008B7F94">
        <w:rPr>
          <w:i/>
          <w:lang w:val="en-US"/>
        </w:rPr>
        <w:t>j</w:t>
      </w:r>
      <w:r w:rsidRPr="008B7F94">
        <w:rPr>
          <w:i/>
          <w:vertAlign w:val="subscript"/>
          <w:lang w:val="en-US"/>
        </w:rPr>
        <w:t>ex</w:t>
      </w:r>
      <w:proofErr w:type="spellEnd"/>
      <w:r w:rsidRPr="008B7F94">
        <w:rPr>
          <w:i/>
          <w:lang w:val="en-US"/>
        </w:rPr>
        <w:t>(</w:t>
      </w:r>
      <w:proofErr w:type="gramEnd"/>
      <w:r w:rsidRPr="008B7F94">
        <w:rPr>
          <w:i/>
          <w:lang w:val="en-US"/>
        </w:rPr>
        <w:t>t)</w:t>
      </w:r>
      <w:r w:rsidRPr="008B7F94">
        <w:rPr>
          <w:lang w:val="en-US"/>
        </w:rPr>
        <w:t>.</w:t>
      </w:r>
    </w:p>
    <w:p w:rsidR="00D03C79" w:rsidRPr="008B7F94" w:rsidRDefault="00D03C79" w:rsidP="00D03C79">
      <w:pPr>
        <w:spacing w:line="360" w:lineRule="auto"/>
        <w:rPr>
          <w:iCs/>
          <w:lang w:val="en-US"/>
        </w:rPr>
      </w:pPr>
      <w:r w:rsidRPr="008B7F94">
        <w:rPr>
          <w:lang w:val="en-US"/>
        </w:rPr>
        <w:tab/>
        <w:t xml:space="preserve">We obtained  the upper estimate of the </w:t>
      </w:r>
      <w:r w:rsidRPr="008B7F94">
        <w:rPr>
          <w:i/>
          <w:lang w:val="en-US"/>
        </w:rPr>
        <w:t>Carassius</w:t>
      </w:r>
      <w:r w:rsidRPr="008B7F94">
        <w:rPr>
          <w:lang w:val="en-US"/>
        </w:rPr>
        <w:t xml:space="preserve"> cone </w:t>
      </w:r>
      <w:proofErr w:type="spellStart"/>
      <w:r w:rsidRPr="008B7F94">
        <w:rPr>
          <w:i/>
          <w:lang w:val="en-US"/>
        </w:rPr>
        <w:t>R</w:t>
      </w:r>
      <w:r w:rsidRPr="008B7F94">
        <w:rPr>
          <w:i/>
          <w:vertAlign w:val="subscript"/>
          <w:lang w:val="en-US"/>
        </w:rPr>
        <w:t>i</w:t>
      </w:r>
      <w:proofErr w:type="spellEnd"/>
      <w:r w:rsidRPr="008B7F94">
        <w:rPr>
          <w:i/>
          <w:vertAlign w:val="subscript"/>
          <w:lang w:val="en-US"/>
        </w:rPr>
        <w:t xml:space="preserve"> </w:t>
      </w:r>
      <w:r w:rsidRPr="008B7F94">
        <w:rPr>
          <w:i/>
          <w:lang w:val="en-US"/>
        </w:rPr>
        <w:t xml:space="preserve">+ </w:t>
      </w:r>
      <w:proofErr w:type="spellStart"/>
      <w:r w:rsidRPr="008B7F94">
        <w:rPr>
          <w:i/>
          <w:lang w:val="en-US"/>
        </w:rPr>
        <w:t>R</w:t>
      </w:r>
      <w:r w:rsidRPr="008B7F94">
        <w:rPr>
          <w:i/>
          <w:vertAlign w:val="subscript"/>
          <w:lang w:val="en-US"/>
        </w:rPr>
        <w:t>l</w:t>
      </w:r>
      <w:proofErr w:type="spellEnd"/>
      <w:r w:rsidRPr="008B7F94">
        <w:rPr>
          <w:i/>
          <w:lang w:val="en-US"/>
        </w:rPr>
        <w:t xml:space="preserve"> + R</w:t>
      </w:r>
      <w:r w:rsidRPr="008B7F94">
        <w:rPr>
          <w:i/>
          <w:vertAlign w:val="subscript"/>
          <w:lang w:val="en-US"/>
        </w:rPr>
        <w:t>e</w:t>
      </w:r>
      <w:r w:rsidRPr="008B7F94">
        <w:rPr>
          <w:lang w:val="en-US"/>
        </w:rPr>
        <w:t xml:space="preserve"> ≈ 500 </w:t>
      </w:r>
      <w:proofErr w:type="spellStart"/>
      <w:r w:rsidRPr="008B7F94">
        <w:rPr>
          <w:lang w:val="en-US"/>
        </w:rPr>
        <w:t>MOhm</w:t>
      </w:r>
      <w:proofErr w:type="spellEnd"/>
      <w:r w:rsidRPr="008B7F94">
        <w:rPr>
          <w:lang w:val="en-US"/>
        </w:rPr>
        <w:t xml:space="preserve"> from the maximum dark current observed in zero-Ca</w:t>
      </w:r>
      <w:r w:rsidRPr="008B7F94">
        <w:rPr>
          <w:vertAlign w:val="superscript"/>
          <w:lang w:val="en-US"/>
        </w:rPr>
        <w:t>2+</w:t>
      </w:r>
      <w:r w:rsidRPr="008B7F94">
        <w:rPr>
          <w:lang w:val="en-US"/>
        </w:rPr>
        <w:t xml:space="preserve"> solution (≈80 </w:t>
      </w:r>
      <w:proofErr w:type="spellStart"/>
      <w:r w:rsidRPr="008B7F94">
        <w:rPr>
          <w:lang w:val="en-US"/>
        </w:rPr>
        <w:t>pA</w:t>
      </w:r>
      <w:proofErr w:type="spellEnd"/>
      <w:r w:rsidRPr="008B7F94">
        <w:rPr>
          <w:lang w:val="en-US"/>
        </w:rPr>
        <w:t xml:space="preserve">) and the electrical driving force </w:t>
      </w:r>
      <w:r w:rsidRPr="008B7F94">
        <w:rPr>
          <w:i/>
          <w:lang w:val="en-US"/>
        </w:rPr>
        <w:t>E</w:t>
      </w:r>
      <w:r w:rsidRPr="008B7F94">
        <w:rPr>
          <w:lang w:val="en-US"/>
        </w:rPr>
        <w:t xml:space="preserve"> (≈ 40 mV, as follows from Figure 6 in [</w:t>
      </w:r>
      <w:r w:rsidR="005D6479" w:rsidRPr="008B7F94">
        <w:rPr>
          <w:lang w:val="en-US"/>
        </w:rPr>
        <w:t>5</w:t>
      </w:r>
      <w:r w:rsidRPr="008B7F94">
        <w:rPr>
          <w:lang w:val="en-US"/>
        </w:rPr>
        <w:t xml:space="preserve">]). Correspondingly, we fixed the IS resistance </w:t>
      </w:r>
      <w:proofErr w:type="spellStart"/>
      <w:proofErr w:type="gramStart"/>
      <w:r w:rsidRPr="008B7F94">
        <w:rPr>
          <w:i/>
          <w:lang w:val="en-US"/>
        </w:rPr>
        <w:t>R</w:t>
      </w:r>
      <w:r w:rsidRPr="008B7F94">
        <w:rPr>
          <w:i/>
          <w:vertAlign w:val="subscript"/>
          <w:lang w:val="en-US"/>
        </w:rPr>
        <w:t>i</w:t>
      </w:r>
      <w:proofErr w:type="spellEnd"/>
      <w:proofErr w:type="gramEnd"/>
      <w:r w:rsidRPr="008B7F94">
        <w:rPr>
          <w:lang w:val="en-US"/>
        </w:rPr>
        <w:t xml:space="preserve"> at 400 </w:t>
      </w:r>
      <w:proofErr w:type="spellStart"/>
      <w:r w:rsidRPr="008B7F94">
        <w:rPr>
          <w:lang w:val="en-US"/>
        </w:rPr>
        <w:t>MOhm</w:t>
      </w:r>
      <w:proofErr w:type="spellEnd"/>
      <w:r w:rsidRPr="008B7F94">
        <w:rPr>
          <w:lang w:val="en-US"/>
        </w:rPr>
        <w:t xml:space="preserve"> as in [</w:t>
      </w:r>
      <w:r w:rsidR="005D6479" w:rsidRPr="008B7F94">
        <w:rPr>
          <w:lang w:val="en-US"/>
        </w:rPr>
        <w:t>5</w:t>
      </w:r>
      <w:r w:rsidRPr="008B7F94">
        <w:rPr>
          <w:lang w:val="en-US"/>
        </w:rPr>
        <w:t xml:space="preserve">]. The extracellular resistance </w:t>
      </w:r>
      <w:r w:rsidRPr="008B7F94">
        <w:rPr>
          <w:i/>
          <w:lang w:val="en-US"/>
        </w:rPr>
        <w:t>R</w:t>
      </w:r>
      <w:r w:rsidRPr="008B7F94">
        <w:rPr>
          <w:i/>
          <w:vertAlign w:val="subscript"/>
          <w:lang w:val="en-US"/>
        </w:rPr>
        <w:t>e</w:t>
      </w:r>
      <w:r w:rsidRPr="008B7F94">
        <w:rPr>
          <w:lang w:val="en-US"/>
        </w:rPr>
        <w:t xml:space="preserve"> can be neglected </w:t>
      </w:r>
      <w:r w:rsidRPr="008B7F94">
        <w:rPr>
          <w:iCs/>
          <w:lang w:val="en-US"/>
        </w:rPr>
        <w:t>during suction pipette recordings</w:t>
      </w:r>
      <w:r w:rsidRPr="008B7F94">
        <w:rPr>
          <w:lang w:val="en-US"/>
        </w:rPr>
        <w:t xml:space="preserve"> since</w:t>
      </w:r>
      <w:r w:rsidRPr="008B7F94">
        <w:rPr>
          <w:iCs/>
          <w:lang w:val="en-US"/>
        </w:rPr>
        <w:t xml:space="preserve"> it is effectively short-circuited by the amplifier that measures </w:t>
      </w:r>
      <w:r w:rsidRPr="008B7F94">
        <w:rPr>
          <w:i/>
          <w:iCs/>
          <w:lang w:val="en-US"/>
        </w:rPr>
        <w:t>j</w:t>
      </w:r>
      <w:r w:rsidRPr="008B7F94">
        <w:rPr>
          <w:i/>
          <w:iCs/>
          <w:vertAlign w:val="subscript"/>
          <w:lang w:val="en-US"/>
        </w:rPr>
        <w:t>e</w:t>
      </w:r>
      <w:r w:rsidRPr="008B7F94">
        <w:rPr>
          <w:iCs/>
          <w:lang w:val="en-US"/>
        </w:rPr>
        <w:t xml:space="preserve">. The longitudinal intracellular resistance </w:t>
      </w:r>
      <w:proofErr w:type="spellStart"/>
      <w:r w:rsidRPr="008B7F94">
        <w:rPr>
          <w:i/>
          <w:iCs/>
          <w:lang w:val="en-US"/>
        </w:rPr>
        <w:t>R</w:t>
      </w:r>
      <w:r w:rsidRPr="008B7F94">
        <w:rPr>
          <w:i/>
          <w:iCs/>
          <w:vertAlign w:val="subscript"/>
          <w:lang w:val="en-US"/>
        </w:rPr>
        <w:t>l</w:t>
      </w:r>
      <w:proofErr w:type="spellEnd"/>
      <w:r w:rsidRPr="008B7F94">
        <w:rPr>
          <w:iCs/>
          <w:lang w:val="en-US"/>
        </w:rPr>
        <w:t xml:space="preserve"> was supposed to consist mostly of the resistance of the connecting cilium and was fixed at 30 </w:t>
      </w:r>
      <w:proofErr w:type="spellStart"/>
      <w:r w:rsidRPr="008B7F94">
        <w:rPr>
          <w:iCs/>
          <w:lang w:val="en-US"/>
        </w:rPr>
        <w:t>MOhm</w:t>
      </w:r>
      <w:proofErr w:type="spellEnd"/>
      <w:r w:rsidRPr="008B7F94">
        <w:rPr>
          <w:iCs/>
          <w:lang w:val="en-US"/>
        </w:rPr>
        <w:t xml:space="preserve">. </w:t>
      </w:r>
    </w:p>
    <w:p w:rsidR="00D03C79" w:rsidRPr="008B7F94" w:rsidRDefault="00D03C79" w:rsidP="00D03C79">
      <w:pPr>
        <w:spacing w:line="360" w:lineRule="auto"/>
        <w:rPr>
          <w:lang w:val="en-US"/>
        </w:rPr>
      </w:pPr>
      <w:r w:rsidRPr="008B7F94">
        <w:rPr>
          <w:iCs/>
          <w:lang w:val="en-US"/>
        </w:rPr>
        <w:tab/>
        <w:t xml:space="preserve">In a steady state the current that flows along the cone and is measured with the suction pipette in the circuit Figure A1A is </w:t>
      </w:r>
      <w:r w:rsidRPr="008B7F94">
        <w:rPr>
          <w:i/>
          <w:lang w:val="en-US"/>
        </w:rPr>
        <w:t>j</w:t>
      </w:r>
      <w:r w:rsidRPr="008B7F94">
        <w:rPr>
          <w:i/>
          <w:vertAlign w:val="subscript"/>
          <w:lang w:val="en-US"/>
        </w:rPr>
        <w:t>e</w:t>
      </w:r>
      <w:r w:rsidRPr="008B7F94">
        <w:rPr>
          <w:lang w:val="en-US"/>
        </w:rPr>
        <w:t xml:space="preserve"> = </w:t>
      </w:r>
      <w:proofErr w:type="spellStart"/>
      <w:r w:rsidRPr="008B7F94">
        <w:rPr>
          <w:i/>
          <w:lang w:val="en-US"/>
        </w:rPr>
        <w:t>j</w:t>
      </w:r>
      <w:r w:rsidRPr="008B7F94">
        <w:rPr>
          <w:i/>
          <w:vertAlign w:val="subscript"/>
          <w:lang w:val="en-US"/>
        </w:rPr>
        <w:t>P</w:t>
      </w:r>
      <w:proofErr w:type="spellEnd"/>
      <w:r w:rsidRPr="008B7F94">
        <w:rPr>
          <w:lang w:val="en-US"/>
        </w:rPr>
        <w:t xml:space="preserve"> = </w:t>
      </w:r>
      <w:proofErr w:type="spellStart"/>
      <w:proofErr w:type="gramStart"/>
      <w:r w:rsidRPr="008B7F94">
        <w:rPr>
          <w:i/>
          <w:lang w:val="en-US"/>
        </w:rPr>
        <w:t>j</w:t>
      </w:r>
      <w:r w:rsidRPr="008B7F94">
        <w:rPr>
          <w:i/>
          <w:vertAlign w:val="subscript"/>
          <w:lang w:val="en-US"/>
        </w:rPr>
        <w:t>cG</w:t>
      </w:r>
      <w:proofErr w:type="spellEnd"/>
      <w:r w:rsidRPr="008B7F94">
        <w:rPr>
          <w:i/>
          <w:lang w:val="en-US"/>
        </w:rPr>
        <w:t>(</w:t>
      </w:r>
      <w:proofErr w:type="gramEnd"/>
      <w:r w:rsidRPr="008B7F94">
        <w:rPr>
          <w:i/>
          <w:lang w:val="en-US"/>
        </w:rPr>
        <w:t>t)</w:t>
      </w:r>
      <w:r w:rsidRPr="008B7F94">
        <w:rPr>
          <w:lang w:val="en-US"/>
        </w:rPr>
        <w:t xml:space="preserve"> +</w:t>
      </w:r>
      <w:r w:rsidRPr="008B7F94">
        <w:rPr>
          <w:i/>
          <w:lang w:val="en-US"/>
        </w:rPr>
        <w:t xml:space="preserve"> </w:t>
      </w:r>
      <w:proofErr w:type="spellStart"/>
      <w:r w:rsidRPr="008B7F94">
        <w:rPr>
          <w:i/>
          <w:lang w:val="en-US"/>
        </w:rPr>
        <w:t>j</w:t>
      </w:r>
      <w:r w:rsidRPr="008B7F94">
        <w:rPr>
          <w:i/>
          <w:vertAlign w:val="subscript"/>
          <w:lang w:val="en-US"/>
        </w:rPr>
        <w:t>ex</w:t>
      </w:r>
      <w:proofErr w:type="spellEnd"/>
      <w:r w:rsidRPr="008B7F94">
        <w:rPr>
          <w:i/>
          <w:lang w:val="en-US"/>
        </w:rPr>
        <w:t>(t)</w:t>
      </w:r>
      <w:r w:rsidRPr="008B7F94">
        <w:rPr>
          <w:lang w:val="en-US"/>
        </w:rPr>
        <w:t>. In the circuit Figure A1B it is</w:t>
      </w:r>
    </w:p>
    <w:p w:rsidR="00D03C79" w:rsidRPr="008B7F94" w:rsidRDefault="00D03C79" w:rsidP="00D03C79">
      <w:pPr>
        <w:spacing w:line="360" w:lineRule="auto"/>
        <w:rPr>
          <w:lang w:val="en-US"/>
        </w:rPr>
      </w:pPr>
      <w:r w:rsidRPr="008B7F94">
        <w:rPr>
          <w:lang w:val="en-US"/>
        </w:rPr>
        <w:tab/>
      </w:r>
      <w:r w:rsidRPr="008B7F94">
        <w:rPr>
          <w:position w:val="-34"/>
        </w:rPr>
        <w:object w:dxaOrig="3960" w:dyaOrig="780">
          <v:shape id="_x0000_i1040" type="#_x0000_t75" style="width:198.5pt;height:39.4pt" o:ole="">
            <v:imagedata r:id="rId37" o:title=""/>
          </v:shape>
          <o:OLEObject Type="Embed" ProgID="Equation.3" ShapeID="_x0000_i1040" DrawAspect="Content" ObjectID="_1487181804" r:id="rId38"/>
        </w:object>
      </w:r>
      <w:r w:rsidRPr="008B7F94">
        <w:rPr>
          <w:position w:val="-30"/>
          <w:lang w:val="en-US"/>
        </w:rPr>
        <w:tab/>
      </w:r>
      <w:r w:rsidRPr="008B7F94">
        <w:rPr>
          <w:position w:val="-30"/>
          <w:lang w:val="en-US"/>
        </w:rPr>
        <w:tab/>
      </w:r>
      <w:r w:rsidRPr="008B7F94">
        <w:rPr>
          <w:position w:val="-30"/>
          <w:lang w:val="en-US"/>
        </w:rPr>
        <w:tab/>
      </w:r>
      <w:r w:rsidRPr="008B7F94">
        <w:rPr>
          <w:position w:val="-30"/>
          <w:lang w:val="en-US"/>
        </w:rPr>
        <w:tab/>
      </w:r>
      <w:r w:rsidRPr="008B7F94">
        <w:rPr>
          <w:position w:val="-30"/>
          <w:lang w:val="en-US"/>
        </w:rPr>
        <w:tab/>
        <w:t>(A14)</w:t>
      </w:r>
    </w:p>
    <w:p w:rsidR="00D03C79" w:rsidRPr="008B7F94" w:rsidRDefault="00D03C79" w:rsidP="00D03C79">
      <w:pPr>
        <w:spacing w:line="360" w:lineRule="auto"/>
        <w:rPr>
          <w:lang w:val="en-US"/>
        </w:rPr>
      </w:pPr>
      <w:proofErr w:type="gramStart"/>
      <w:r w:rsidRPr="008B7F94">
        <w:rPr>
          <w:lang w:val="en-US"/>
        </w:rPr>
        <w:t>where</w:t>
      </w:r>
      <w:proofErr w:type="gramEnd"/>
      <w:r w:rsidRPr="008B7F94">
        <w:rPr>
          <w:lang w:val="en-US"/>
        </w:rPr>
        <w:t xml:space="preserve"> </w:t>
      </w:r>
      <w:proofErr w:type="spellStart"/>
      <w:r w:rsidRPr="008B7F94">
        <w:rPr>
          <w:i/>
          <w:lang w:val="en-US"/>
        </w:rPr>
        <w:t>g</w:t>
      </w:r>
      <w:r w:rsidRPr="008B7F94">
        <w:rPr>
          <w:i/>
          <w:vertAlign w:val="subscript"/>
          <w:lang w:val="en-US"/>
        </w:rPr>
        <w:t>cG</w:t>
      </w:r>
      <w:proofErr w:type="spellEnd"/>
      <w:r w:rsidRPr="008B7F94">
        <w:rPr>
          <w:i/>
          <w:lang w:val="en-US"/>
        </w:rPr>
        <w:t>(t)</w:t>
      </w:r>
      <w:r w:rsidRPr="008B7F94">
        <w:rPr>
          <w:lang w:val="en-US"/>
        </w:rPr>
        <w:t xml:space="preserve"> is the cGMP-controlled conductance of the outer segment. The conductance is calculated similarly to the OS current (equation A8):</w:t>
      </w:r>
    </w:p>
    <w:p w:rsidR="00D03C79" w:rsidRPr="008B7F94" w:rsidRDefault="00D03C79" w:rsidP="00D03C79">
      <w:pPr>
        <w:spacing w:line="360" w:lineRule="auto"/>
        <w:rPr>
          <w:lang w:val="en-US"/>
        </w:rPr>
      </w:pPr>
      <w:r w:rsidRPr="008B7F94">
        <w:rPr>
          <w:lang w:val="en-US"/>
        </w:rPr>
        <w:tab/>
      </w:r>
      <w:r w:rsidRPr="008B7F94">
        <w:rPr>
          <w:lang w:val="en-US"/>
        </w:rPr>
        <w:tab/>
      </w:r>
      <w:r w:rsidRPr="008B7F94">
        <w:rPr>
          <w:position w:val="-38"/>
        </w:rPr>
        <w:object w:dxaOrig="3980" w:dyaOrig="880">
          <v:shape id="_x0000_i1041" type="#_x0000_t75" style="width:175.45pt;height:42.15pt" o:ole="">
            <v:imagedata r:id="rId39" o:title=""/>
          </v:shape>
          <o:OLEObject Type="Embed" ProgID="Equation.3" ShapeID="_x0000_i1041" DrawAspect="Content" ObjectID="_1487181805" r:id="rId40"/>
        </w:object>
      </w:r>
      <w:r w:rsidRPr="008B7F94">
        <w:rPr>
          <w:lang w:val="en-US"/>
        </w:rPr>
        <w:tab/>
      </w:r>
      <w:r w:rsidRPr="008B7F94">
        <w:rPr>
          <w:lang w:val="en-US"/>
        </w:rPr>
        <w:tab/>
      </w:r>
      <w:r w:rsidRPr="008B7F94">
        <w:rPr>
          <w:lang w:val="en-US"/>
        </w:rPr>
        <w:tab/>
      </w:r>
      <w:r w:rsidRPr="008B7F94">
        <w:rPr>
          <w:lang w:val="en-US"/>
        </w:rPr>
        <w:tab/>
      </w:r>
      <w:r w:rsidRPr="008B7F94">
        <w:rPr>
          <w:lang w:val="en-US"/>
        </w:rPr>
        <w:tab/>
        <w:t xml:space="preserve">(A15). </w:t>
      </w:r>
    </w:p>
    <w:p w:rsidR="00D03C79" w:rsidRPr="008B7F94" w:rsidRDefault="00D03C79" w:rsidP="00D03C79">
      <w:pPr>
        <w:spacing w:line="360" w:lineRule="auto"/>
        <w:rPr>
          <w:lang w:val="en-US"/>
        </w:rPr>
      </w:pPr>
      <w:r w:rsidRPr="008B7F94">
        <w:rPr>
          <w:lang w:val="en-US"/>
        </w:rPr>
        <w:t xml:space="preserve">Maximum OS conductance at high [cGMP], </w:t>
      </w:r>
      <w:proofErr w:type="spellStart"/>
      <w:r w:rsidRPr="008B7F94">
        <w:rPr>
          <w:i/>
          <w:lang w:val="en-US"/>
        </w:rPr>
        <w:t>g</w:t>
      </w:r>
      <w:r w:rsidRPr="008B7F94">
        <w:rPr>
          <w:i/>
          <w:vertAlign w:val="subscript"/>
          <w:lang w:val="en-US"/>
        </w:rPr>
        <w:t>cGmax</w:t>
      </w:r>
      <w:proofErr w:type="spellEnd"/>
      <w:r w:rsidRPr="008B7F94">
        <w:rPr>
          <w:lang w:val="en-US"/>
        </w:rPr>
        <w:t>, is calculated from the dark current:</w:t>
      </w:r>
    </w:p>
    <w:p w:rsidR="00D03C79" w:rsidRPr="008B7F94" w:rsidRDefault="00D03C79" w:rsidP="00D03C79">
      <w:pPr>
        <w:spacing w:line="360" w:lineRule="auto"/>
        <w:rPr>
          <w:lang w:val="en-US"/>
        </w:rPr>
      </w:pPr>
      <w:r w:rsidRPr="008B7F94">
        <w:rPr>
          <w:lang w:val="en-US"/>
        </w:rPr>
        <w:tab/>
      </w:r>
      <w:r w:rsidRPr="008B7F94">
        <w:rPr>
          <w:position w:val="-38"/>
        </w:rPr>
        <w:object w:dxaOrig="5760" w:dyaOrig="900">
          <v:shape id="_x0000_i1042" type="#_x0000_t75" style="width:254.6pt;height:42.95pt" o:ole="">
            <v:imagedata r:id="rId41" o:title=""/>
          </v:shape>
          <o:OLEObject Type="Embed" ProgID="Equation.3" ShapeID="_x0000_i1042" DrawAspect="Content" ObjectID="_1487181806" r:id="rId42"/>
        </w:object>
      </w:r>
      <w:r w:rsidRPr="008B7F94">
        <w:rPr>
          <w:lang w:val="en-US"/>
        </w:rPr>
        <w:tab/>
      </w:r>
      <w:r w:rsidRPr="008B7F94">
        <w:rPr>
          <w:lang w:val="en-US"/>
        </w:rPr>
        <w:tab/>
      </w:r>
      <w:r w:rsidRPr="008B7F94">
        <w:rPr>
          <w:lang w:val="en-US"/>
        </w:rPr>
        <w:tab/>
        <w:t>(A16)</w:t>
      </w:r>
    </w:p>
    <w:p w:rsidR="00D03C79" w:rsidRPr="008B7F94" w:rsidRDefault="00D03C79" w:rsidP="00D03C79">
      <w:pPr>
        <w:spacing w:line="360" w:lineRule="auto"/>
        <w:rPr>
          <w:lang w:val="en-US"/>
        </w:rPr>
      </w:pPr>
      <w:proofErr w:type="gramStart"/>
      <w:r w:rsidRPr="008B7F94">
        <w:rPr>
          <w:lang w:val="en-US"/>
        </w:rPr>
        <w:t>where</w:t>
      </w:r>
      <w:proofErr w:type="gramEnd"/>
    </w:p>
    <w:p w:rsidR="00D03C79" w:rsidRPr="008B7F94" w:rsidRDefault="00D03C79" w:rsidP="00D03C79">
      <w:pPr>
        <w:spacing w:line="360" w:lineRule="auto"/>
        <w:rPr>
          <w:lang w:val="en-US"/>
        </w:rPr>
      </w:pPr>
      <w:r w:rsidRPr="008B7F94">
        <w:rPr>
          <w:lang w:val="en-US"/>
        </w:rPr>
        <w:tab/>
      </w:r>
      <w:r w:rsidRPr="008B7F94">
        <w:rPr>
          <w:position w:val="-34"/>
        </w:rPr>
        <w:object w:dxaOrig="2260" w:dyaOrig="780">
          <v:shape id="_x0000_i1043" type="#_x0000_t75" style="width:113.35pt;height:38.6pt" o:ole="">
            <v:imagedata r:id="rId43" o:title=""/>
          </v:shape>
          <o:OLEObject Type="Embed" ProgID="Equation.3" ShapeID="_x0000_i1043" DrawAspect="Content" ObjectID="_1487181807" r:id="rId44"/>
        </w:object>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t>(A17).</w:t>
      </w:r>
    </w:p>
    <w:p w:rsidR="00D03C79" w:rsidRPr="008B7F94" w:rsidRDefault="00D03C79" w:rsidP="00D03C79">
      <w:pPr>
        <w:spacing w:line="360" w:lineRule="auto"/>
        <w:rPr>
          <w:lang w:val="en-US"/>
        </w:rPr>
      </w:pPr>
      <w:r w:rsidRPr="008B7F94">
        <w:rPr>
          <w:lang w:val="en-US"/>
        </w:rPr>
        <w:tab/>
        <w:t xml:space="preserve">For small responses, when the resistance of the outer segment may be considered approximately constant, the difference between the predictions based on the two electric circuits is small. In fact, the circuit in Figure A1B can be treated similarly to the circuit in Figure A1A </w:t>
      </w:r>
      <w:r w:rsidRPr="008B7F94">
        <w:rPr>
          <w:lang w:val="en-US"/>
        </w:rPr>
        <w:lastRenderedPageBreak/>
        <w:t xml:space="preserve">yet with a fraction of the photocurrent </w:t>
      </w:r>
      <w:proofErr w:type="spellStart"/>
      <w:r w:rsidRPr="008B7F94">
        <w:rPr>
          <w:i/>
          <w:lang w:val="en-US"/>
        </w:rPr>
        <w:t>j</w:t>
      </w:r>
      <w:r w:rsidRPr="008B7F94">
        <w:rPr>
          <w:i/>
          <w:vertAlign w:val="subscript"/>
          <w:lang w:val="en-US"/>
        </w:rPr>
        <w:t>P</w:t>
      </w:r>
      <w:proofErr w:type="spellEnd"/>
      <w:r w:rsidRPr="008B7F94">
        <w:rPr>
          <w:lang w:val="en-US"/>
        </w:rPr>
        <w:t xml:space="preserve"> leaking through the resistance of the outer segment and hence not registered with the suction pipette. This results in lower photoresponse amplitude than in the circuit in Figure A1A. The effect is small, though, because </w:t>
      </w:r>
      <w:r w:rsidRPr="008B7F94">
        <w:rPr>
          <w:i/>
          <w:lang w:val="en-US"/>
        </w:rPr>
        <w:t>R</w:t>
      </w:r>
      <w:r w:rsidRPr="008B7F94">
        <w:rPr>
          <w:i/>
          <w:vertAlign w:val="subscript"/>
          <w:lang w:val="en-US"/>
        </w:rPr>
        <w:t>o</w:t>
      </w:r>
      <w:r w:rsidRPr="008B7F94">
        <w:rPr>
          <w:i/>
          <w:lang w:val="en-US"/>
        </w:rPr>
        <w:t xml:space="preserve"> &gt;&gt; </w:t>
      </w:r>
      <w:proofErr w:type="spellStart"/>
      <w:r w:rsidRPr="008B7F94">
        <w:rPr>
          <w:i/>
          <w:lang w:val="en-US"/>
        </w:rPr>
        <w:t>R</w:t>
      </w:r>
      <w:r w:rsidRPr="008B7F94">
        <w:rPr>
          <w:i/>
          <w:vertAlign w:val="subscript"/>
          <w:lang w:val="en-US"/>
        </w:rPr>
        <w:t>l</w:t>
      </w:r>
      <w:proofErr w:type="spellEnd"/>
      <w:r w:rsidRPr="008B7F94">
        <w:rPr>
          <w:i/>
          <w:vertAlign w:val="subscript"/>
          <w:lang w:val="en-US"/>
        </w:rPr>
        <w:t xml:space="preserve"> </w:t>
      </w:r>
      <w:r w:rsidRPr="008B7F94">
        <w:rPr>
          <w:i/>
          <w:lang w:val="en-US"/>
        </w:rPr>
        <w:t xml:space="preserve">+ </w:t>
      </w:r>
      <w:proofErr w:type="spellStart"/>
      <w:r w:rsidRPr="008B7F94">
        <w:rPr>
          <w:i/>
          <w:lang w:val="en-US"/>
        </w:rPr>
        <w:t>Ri</w:t>
      </w:r>
      <w:proofErr w:type="spellEnd"/>
      <w:r w:rsidRPr="008B7F94">
        <w:rPr>
          <w:lang w:val="en-US"/>
        </w:rPr>
        <w:t xml:space="preserve">. In cones with low dark current (hence high </w:t>
      </w:r>
      <w:r w:rsidRPr="008B7F94">
        <w:rPr>
          <w:i/>
          <w:lang w:val="en-US"/>
        </w:rPr>
        <w:t>R</w:t>
      </w:r>
      <w:r w:rsidRPr="008B7F94">
        <w:rPr>
          <w:i/>
          <w:vertAlign w:val="subscript"/>
          <w:lang w:val="en-US"/>
        </w:rPr>
        <w:t>o</w:t>
      </w:r>
      <w:r w:rsidRPr="008B7F94">
        <w:rPr>
          <w:lang w:val="en-US"/>
        </w:rPr>
        <w:t xml:space="preserve">) it is ≈ 5% and may reach 15% in cones with high dark current. Lower model photoresponse means that a correspondingly higher amplification has to be assumed during fitting; otherwise, the responses of the two circuits are quite similar. All model parameters in the main text are derived from the circuit of Figure A1A, to obtain more conservative estimates of the cone amplification. </w:t>
      </w:r>
    </w:p>
    <w:p w:rsidR="00D03C79" w:rsidRPr="008B7F94" w:rsidRDefault="00D03C79" w:rsidP="00D03C79">
      <w:pPr>
        <w:spacing w:line="360" w:lineRule="auto"/>
        <w:rPr>
          <w:lang w:val="en-US"/>
        </w:rPr>
      </w:pPr>
      <w:r w:rsidRPr="008B7F94">
        <w:rPr>
          <w:rFonts w:ascii="Arial" w:hAnsi="Arial"/>
          <w:lang w:val="en-US"/>
        </w:rPr>
        <w:tab/>
      </w:r>
      <w:r w:rsidRPr="008B7F94">
        <w:rPr>
          <w:lang w:val="en-US"/>
        </w:rPr>
        <w:t>Suction pipette current (</w:t>
      </w:r>
      <w:r w:rsidRPr="008B7F94">
        <w:rPr>
          <w:i/>
          <w:lang w:val="en-US"/>
        </w:rPr>
        <w:t>j</w:t>
      </w:r>
      <w:r w:rsidRPr="008B7F94">
        <w:rPr>
          <w:i/>
          <w:vertAlign w:val="subscript"/>
          <w:lang w:val="en-US"/>
        </w:rPr>
        <w:t>e</w:t>
      </w:r>
      <w:r w:rsidRPr="008B7F94">
        <w:rPr>
          <w:lang w:val="en-US"/>
        </w:rPr>
        <w:t xml:space="preserve"> in Figure A1) or membrane voltages do not exactly follow the current through the CNG channels and the exchanger due to the capacitance and resistance of the cell’s membrane (cell time constant, </w:t>
      </w:r>
      <w:r w:rsidRPr="008B7F94">
        <w:rPr>
          <w:rFonts w:ascii="Symbol" w:hAnsi="Symbol"/>
          <w:i/>
        </w:rPr>
        <w:t></w:t>
      </w:r>
      <w:r w:rsidRPr="008B7F94">
        <w:rPr>
          <w:i/>
          <w:vertAlign w:val="subscript"/>
          <w:lang w:val="en-US"/>
        </w:rPr>
        <w:t>e</w:t>
      </w:r>
      <w:r w:rsidRPr="008B7F94">
        <w:rPr>
          <w:lang w:val="en-US"/>
        </w:rPr>
        <w:t xml:space="preserve">). This low-pass filtering is significant for cones so it is necessary to include the effect of membrane capacitance into the model. </w:t>
      </w:r>
    </w:p>
    <w:p w:rsidR="00D03C79" w:rsidRPr="008B7F94" w:rsidRDefault="00D03C79" w:rsidP="00D03C79">
      <w:pPr>
        <w:spacing w:line="360" w:lineRule="auto"/>
        <w:rPr>
          <w:iCs/>
          <w:lang w:val="en-US"/>
        </w:rPr>
      </w:pPr>
    </w:p>
    <w:p w:rsidR="00D03C79" w:rsidRDefault="007E3B5E" w:rsidP="00D03C79">
      <w:pPr>
        <w:spacing w:line="360" w:lineRule="auto"/>
        <w:rPr>
          <w:iCs/>
          <w:lang w:val="en-US"/>
        </w:rPr>
      </w:pPr>
      <w:r w:rsidRPr="008B7F94">
        <w:rPr>
          <w:noProof/>
          <w:lang w:eastAsia="ru-RU"/>
        </w:rPr>
        <w:drawing>
          <wp:inline distT="0" distB="0" distL="0" distR="0">
            <wp:extent cx="5588215" cy="3632340"/>
            <wp:effectExtent l="19050" t="0" r="0" b="0"/>
            <wp:docPr id="1" name="Рисунок 0" descr="Figure_A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A1.TIF"/>
                    <pic:cNvPicPr/>
                  </pic:nvPicPr>
                  <pic:blipFill>
                    <a:blip r:embed="rId45" cstate="print"/>
                    <a:stretch>
                      <a:fillRect/>
                    </a:stretch>
                  </pic:blipFill>
                  <pic:spPr>
                    <a:xfrm>
                      <a:off x="0" y="0"/>
                      <a:ext cx="5591007" cy="3634155"/>
                    </a:xfrm>
                    <a:prstGeom prst="rect">
                      <a:avLst/>
                    </a:prstGeom>
                  </pic:spPr>
                </pic:pic>
              </a:graphicData>
            </a:graphic>
          </wp:inline>
        </w:drawing>
      </w:r>
    </w:p>
    <w:p w:rsidR="001B084C" w:rsidRPr="008B7F94" w:rsidRDefault="001B084C" w:rsidP="001B084C">
      <w:pPr>
        <w:autoSpaceDE w:val="0"/>
        <w:autoSpaceDN w:val="0"/>
        <w:adjustRightInd w:val="0"/>
        <w:spacing w:line="276" w:lineRule="auto"/>
        <w:rPr>
          <w:lang w:val="en-US"/>
        </w:rPr>
      </w:pPr>
      <w:r w:rsidRPr="008B7F94">
        <w:rPr>
          <w:lang w:val="en-US"/>
        </w:rPr>
        <w:t>Figure A1.</w:t>
      </w:r>
      <w:r w:rsidRPr="008B7F94">
        <w:rPr>
          <w:b/>
          <w:lang w:val="en-US"/>
        </w:rPr>
        <w:t xml:space="preserve"> </w:t>
      </w:r>
      <w:proofErr w:type="gramStart"/>
      <w:r w:rsidRPr="008B7F94">
        <w:rPr>
          <w:lang w:val="en-US"/>
        </w:rPr>
        <w:t>Two versions of the electric circuit of a photoreceptor.</w:t>
      </w:r>
      <w:proofErr w:type="gramEnd"/>
      <w:r w:rsidRPr="008B7F94">
        <w:rPr>
          <w:lang w:val="en-US"/>
        </w:rPr>
        <w:t xml:space="preserve"> A, the slope resistance of the outer segment is supposed to be very high [34], so the OS is treated as a photocurrent source </w:t>
      </w:r>
      <w:proofErr w:type="spellStart"/>
      <w:r w:rsidRPr="008B7F94">
        <w:rPr>
          <w:i/>
          <w:lang w:val="en-US"/>
        </w:rPr>
        <w:t>j</w:t>
      </w:r>
      <w:r w:rsidRPr="008B7F94">
        <w:rPr>
          <w:i/>
          <w:vertAlign w:val="subscript"/>
          <w:lang w:val="en-US"/>
        </w:rPr>
        <w:t>P</w:t>
      </w:r>
      <w:proofErr w:type="spellEnd"/>
      <w:r w:rsidRPr="008B7F94">
        <w:rPr>
          <w:lang w:val="en-US"/>
        </w:rPr>
        <w:t xml:space="preserve">. B, the resistance of the outer segment </w:t>
      </w:r>
      <w:r w:rsidRPr="008B7F94">
        <w:rPr>
          <w:i/>
          <w:lang w:val="en-US"/>
        </w:rPr>
        <w:t>R</w:t>
      </w:r>
      <w:r w:rsidRPr="008B7F94">
        <w:rPr>
          <w:i/>
          <w:vertAlign w:val="subscript"/>
          <w:lang w:val="en-US"/>
        </w:rPr>
        <w:t>o</w:t>
      </w:r>
      <w:r w:rsidRPr="008B7F94">
        <w:rPr>
          <w:lang w:val="en-US"/>
        </w:rPr>
        <w:t xml:space="preserve"> is linear and comparable to the resistance of the inner segment </w:t>
      </w:r>
      <w:proofErr w:type="spellStart"/>
      <w:proofErr w:type="gramStart"/>
      <w:r w:rsidRPr="008B7F94">
        <w:rPr>
          <w:i/>
          <w:lang w:val="en-US"/>
        </w:rPr>
        <w:t>R</w:t>
      </w:r>
      <w:r w:rsidRPr="008B7F94">
        <w:rPr>
          <w:i/>
          <w:vertAlign w:val="subscript"/>
          <w:lang w:val="en-US"/>
        </w:rPr>
        <w:t>i</w:t>
      </w:r>
      <w:proofErr w:type="spellEnd"/>
      <w:proofErr w:type="gramEnd"/>
      <w:r w:rsidRPr="008B7F94">
        <w:rPr>
          <w:lang w:val="en-US"/>
        </w:rPr>
        <w:t xml:space="preserve"> [5]. The photoresponse is generated by varying </w:t>
      </w:r>
      <w:r w:rsidRPr="008B7F94">
        <w:rPr>
          <w:i/>
          <w:lang w:val="en-US"/>
        </w:rPr>
        <w:t>R</w:t>
      </w:r>
      <w:r w:rsidRPr="008B7F94">
        <w:rPr>
          <w:i/>
          <w:vertAlign w:val="subscript"/>
          <w:lang w:val="en-US"/>
        </w:rPr>
        <w:t>o</w:t>
      </w:r>
      <w:r w:rsidRPr="008B7F94">
        <w:rPr>
          <w:lang w:val="en-US"/>
        </w:rPr>
        <w:t xml:space="preserve">. </w:t>
      </w:r>
      <w:proofErr w:type="spellStart"/>
      <w:r w:rsidRPr="008B7F94">
        <w:rPr>
          <w:i/>
          <w:lang w:val="en-US"/>
        </w:rPr>
        <w:t>R</w:t>
      </w:r>
      <w:r w:rsidRPr="008B7F94">
        <w:rPr>
          <w:i/>
          <w:vertAlign w:val="subscript"/>
          <w:lang w:val="en-US"/>
        </w:rPr>
        <w:t>l</w:t>
      </w:r>
      <w:proofErr w:type="spellEnd"/>
      <w:r w:rsidRPr="008B7F94">
        <w:rPr>
          <w:lang w:val="en-US"/>
        </w:rPr>
        <w:t xml:space="preserve"> is the longitudinal intracellular resistance between the inner and outer segment. </w:t>
      </w:r>
      <w:r w:rsidRPr="008B7F94">
        <w:rPr>
          <w:i/>
          <w:lang w:val="en-US"/>
        </w:rPr>
        <w:t>R</w:t>
      </w:r>
      <w:r w:rsidRPr="008B7F94">
        <w:rPr>
          <w:i/>
          <w:vertAlign w:val="subscript"/>
          <w:lang w:val="en-US"/>
        </w:rPr>
        <w:t>e</w:t>
      </w:r>
      <w:r w:rsidRPr="008B7F94">
        <w:rPr>
          <w:lang w:val="en-US"/>
        </w:rPr>
        <w:t xml:space="preserve"> is the longitudinal extracellular resistance. </w:t>
      </w:r>
      <w:r w:rsidRPr="008B7F94">
        <w:rPr>
          <w:i/>
          <w:lang w:val="en-US"/>
        </w:rPr>
        <w:t>C</w:t>
      </w:r>
      <w:r w:rsidRPr="008B7F94">
        <w:rPr>
          <w:i/>
          <w:vertAlign w:val="subscript"/>
          <w:lang w:val="en-US"/>
        </w:rPr>
        <w:t>o</w:t>
      </w:r>
      <w:r w:rsidRPr="008B7F94">
        <w:rPr>
          <w:lang w:val="en-US"/>
        </w:rPr>
        <w:t xml:space="preserve"> and </w:t>
      </w:r>
      <w:proofErr w:type="spellStart"/>
      <w:r w:rsidRPr="008B7F94">
        <w:rPr>
          <w:i/>
          <w:lang w:val="en-US"/>
        </w:rPr>
        <w:t>C</w:t>
      </w:r>
      <w:r w:rsidRPr="008B7F94">
        <w:rPr>
          <w:i/>
          <w:vertAlign w:val="subscript"/>
          <w:lang w:val="en-US"/>
        </w:rPr>
        <w:t>i</w:t>
      </w:r>
      <w:proofErr w:type="spellEnd"/>
      <w:r w:rsidRPr="008B7F94">
        <w:rPr>
          <w:i/>
          <w:lang w:val="en-US"/>
        </w:rPr>
        <w:t xml:space="preserve"> </w:t>
      </w:r>
      <w:r w:rsidRPr="008B7F94">
        <w:rPr>
          <w:lang w:val="en-US"/>
        </w:rPr>
        <w:t xml:space="preserve">are membrane capacitances of the outer and inner segment, resp. </w:t>
      </w:r>
      <w:proofErr w:type="gramStart"/>
      <w:r w:rsidRPr="008B7F94">
        <w:rPr>
          <w:i/>
          <w:lang w:val="en-US"/>
        </w:rPr>
        <w:t>V</w:t>
      </w:r>
      <w:r w:rsidRPr="008B7F94">
        <w:rPr>
          <w:i/>
          <w:vertAlign w:val="subscript"/>
          <w:lang w:val="en-US"/>
        </w:rPr>
        <w:t>o</w:t>
      </w:r>
      <w:proofErr w:type="gramEnd"/>
      <w:r w:rsidRPr="008B7F94">
        <w:rPr>
          <w:lang w:val="en-US"/>
        </w:rPr>
        <w:t xml:space="preserve"> and </w:t>
      </w:r>
      <w:r w:rsidRPr="008B7F94">
        <w:rPr>
          <w:i/>
          <w:lang w:val="en-US"/>
        </w:rPr>
        <w:t>V</w:t>
      </w:r>
      <w:r w:rsidRPr="008B7F94">
        <w:rPr>
          <w:i/>
          <w:vertAlign w:val="subscript"/>
          <w:lang w:val="en-US"/>
        </w:rPr>
        <w:t>i</w:t>
      </w:r>
      <w:r w:rsidRPr="008B7F94">
        <w:rPr>
          <w:lang w:val="en-US"/>
        </w:rPr>
        <w:t xml:space="preserve"> are membrane voltages. </w:t>
      </w:r>
      <w:r w:rsidRPr="008B7F94">
        <w:rPr>
          <w:i/>
          <w:lang w:val="en-US"/>
        </w:rPr>
        <w:t xml:space="preserve">E </w:t>
      </w:r>
      <w:r w:rsidRPr="008B7F94">
        <w:rPr>
          <w:lang w:val="en-US"/>
        </w:rPr>
        <w:t xml:space="preserve">is the membrane battery of the inner segment. </w:t>
      </w:r>
      <w:proofErr w:type="gramStart"/>
      <w:r w:rsidRPr="008B7F94">
        <w:rPr>
          <w:i/>
          <w:lang w:val="en-US"/>
        </w:rPr>
        <w:t>j</w:t>
      </w:r>
      <w:r w:rsidRPr="008B7F94">
        <w:rPr>
          <w:i/>
          <w:vertAlign w:val="subscript"/>
          <w:lang w:val="en-US"/>
        </w:rPr>
        <w:t>e</w:t>
      </w:r>
      <w:proofErr w:type="gramEnd"/>
      <w:r w:rsidRPr="008B7F94">
        <w:rPr>
          <w:lang w:val="en-US"/>
        </w:rPr>
        <w:t xml:space="preserve"> is the longitudinal extracellular current registered by a suction pipette. </w:t>
      </w:r>
      <w:proofErr w:type="spellStart"/>
      <w:proofErr w:type="gramStart"/>
      <w:r w:rsidRPr="008B7F94">
        <w:rPr>
          <w:i/>
          <w:lang w:val="en-US"/>
        </w:rPr>
        <w:t>j</w:t>
      </w:r>
      <w:r w:rsidRPr="008B7F94">
        <w:rPr>
          <w:i/>
          <w:vertAlign w:val="subscript"/>
          <w:lang w:val="en-US"/>
        </w:rPr>
        <w:t>cG</w:t>
      </w:r>
      <w:proofErr w:type="spellEnd"/>
      <w:proofErr w:type="gramEnd"/>
      <w:r w:rsidRPr="008B7F94">
        <w:rPr>
          <w:vertAlign w:val="subscript"/>
          <w:lang w:val="en-US"/>
        </w:rPr>
        <w:t xml:space="preserve"> </w:t>
      </w:r>
      <w:r w:rsidRPr="008B7F94">
        <w:rPr>
          <w:lang w:val="en-US"/>
        </w:rPr>
        <w:t xml:space="preserve">is the current through the CNG channels, and </w:t>
      </w:r>
      <w:proofErr w:type="spellStart"/>
      <w:r w:rsidRPr="008B7F94">
        <w:rPr>
          <w:i/>
          <w:lang w:val="en-US"/>
        </w:rPr>
        <w:t>j</w:t>
      </w:r>
      <w:r w:rsidRPr="008B7F94">
        <w:rPr>
          <w:i/>
          <w:vertAlign w:val="subscript"/>
          <w:lang w:val="en-US"/>
        </w:rPr>
        <w:t>ex</w:t>
      </w:r>
      <w:proofErr w:type="spellEnd"/>
      <w:r w:rsidRPr="008B7F94">
        <w:rPr>
          <w:lang w:val="en-US"/>
        </w:rPr>
        <w:t xml:space="preserve"> is the Ca</w:t>
      </w:r>
      <w:r w:rsidRPr="008B7F94">
        <w:rPr>
          <w:vertAlign w:val="superscript"/>
          <w:lang w:val="en-US"/>
        </w:rPr>
        <w:t>2+</w:t>
      </w:r>
      <w:r w:rsidRPr="008B7F94">
        <w:rPr>
          <w:lang w:val="en-US"/>
        </w:rPr>
        <w:t>-exchange current.</w:t>
      </w:r>
    </w:p>
    <w:p w:rsidR="001B084C" w:rsidRPr="008B7F94" w:rsidRDefault="001B084C" w:rsidP="001B084C">
      <w:pPr>
        <w:tabs>
          <w:tab w:val="left" w:pos="1122"/>
        </w:tabs>
        <w:spacing w:line="360" w:lineRule="auto"/>
        <w:rPr>
          <w:iCs/>
          <w:lang w:val="en-US"/>
        </w:rPr>
      </w:pPr>
      <w:r>
        <w:rPr>
          <w:iCs/>
          <w:lang w:val="en-US"/>
        </w:rPr>
        <w:tab/>
      </w:r>
    </w:p>
    <w:p w:rsidR="00D03C79" w:rsidRPr="008B7F94" w:rsidRDefault="00D03C79" w:rsidP="00D03C79">
      <w:pPr>
        <w:spacing w:line="360" w:lineRule="auto"/>
        <w:rPr>
          <w:iCs/>
          <w:lang w:val="en-US"/>
        </w:rPr>
      </w:pPr>
    </w:p>
    <w:p w:rsidR="00D03C79" w:rsidRPr="008B7F94" w:rsidRDefault="00D03C79" w:rsidP="00D03C79">
      <w:pPr>
        <w:spacing w:line="360" w:lineRule="auto"/>
        <w:rPr>
          <w:iCs/>
          <w:lang w:val="en-US"/>
        </w:rPr>
      </w:pPr>
      <w:r w:rsidRPr="008B7F94">
        <w:rPr>
          <w:iCs/>
          <w:lang w:val="en-US"/>
        </w:rPr>
        <w:tab/>
        <w:t>Further we only consider</w:t>
      </w:r>
      <w:r w:rsidRPr="008B7F94">
        <w:rPr>
          <w:i/>
          <w:iCs/>
          <w:lang w:val="en-US"/>
        </w:rPr>
        <w:t xml:space="preserve"> transient</w:t>
      </w:r>
      <w:r w:rsidRPr="008B7F94">
        <w:rPr>
          <w:iCs/>
          <w:lang w:val="en-US"/>
        </w:rPr>
        <w:t xml:space="preserve"> processes in the scheme Figure A1A. This means that the steady currents flowing due to the membrane battery </w:t>
      </w:r>
      <w:r w:rsidRPr="008B7F94">
        <w:rPr>
          <w:i/>
          <w:iCs/>
          <w:lang w:val="en-US"/>
        </w:rPr>
        <w:t>E</w:t>
      </w:r>
      <w:r w:rsidRPr="008B7F94">
        <w:rPr>
          <w:iCs/>
          <w:lang w:val="en-US"/>
        </w:rPr>
        <w:t xml:space="preserve"> are excluded from consideration. Then the equations for currents and voltage transients in the circuit are:</w:t>
      </w:r>
    </w:p>
    <w:p w:rsidR="00D03C79" w:rsidRPr="008B7F94" w:rsidRDefault="00D03C79" w:rsidP="00D03C79">
      <w:pPr>
        <w:spacing w:line="360" w:lineRule="auto"/>
        <w:rPr>
          <w:iCs/>
          <w:lang w:val="en-US"/>
        </w:rPr>
      </w:pPr>
    </w:p>
    <w:p w:rsidR="00D03C79" w:rsidRPr="008B7F94" w:rsidRDefault="00D03C79" w:rsidP="00D03C79">
      <w:pPr>
        <w:spacing w:line="360" w:lineRule="auto"/>
        <w:rPr>
          <w:lang w:val="en-US"/>
        </w:rPr>
      </w:pPr>
      <w:r w:rsidRPr="008B7F94">
        <w:rPr>
          <w:position w:val="-36"/>
        </w:rPr>
        <w:object w:dxaOrig="3820" w:dyaOrig="859">
          <v:shape id="_x0000_i1044" type="#_x0000_t75" style="width:191.35pt;height:42.95pt" o:ole="">
            <v:imagedata r:id="rId46" o:title=""/>
          </v:shape>
          <o:OLEObject Type="Embed" ProgID="Equation.3" ShapeID="_x0000_i1044" DrawAspect="Content" ObjectID="_1487181808" r:id="rId47"/>
        </w:object>
      </w:r>
      <w:r w:rsidRPr="008B7F94">
        <w:rPr>
          <w:lang w:val="en-US"/>
        </w:rPr>
        <w:tab/>
      </w:r>
      <w:r w:rsidRPr="008B7F94">
        <w:rPr>
          <w:lang w:val="en-US"/>
        </w:rPr>
        <w:tab/>
      </w:r>
      <w:r w:rsidRPr="008B7F94">
        <w:rPr>
          <w:lang w:val="en-US"/>
        </w:rPr>
        <w:tab/>
      </w:r>
      <w:r w:rsidRPr="008B7F94">
        <w:rPr>
          <w:lang w:val="en-US"/>
        </w:rPr>
        <w:tab/>
      </w:r>
      <w:r w:rsidRPr="008B7F94">
        <w:rPr>
          <w:lang w:val="en-US"/>
        </w:rPr>
        <w:tab/>
        <w:t>(A18a)</w:t>
      </w:r>
    </w:p>
    <w:p w:rsidR="00D03C79" w:rsidRPr="008B7F94" w:rsidRDefault="00D03C79" w:rsidP="00D03C79">
      <w:pPr>
        <w:spacing w:line="360" w:lineRule="auto"/>
        <w:rPr>
          <w:lang w:val="en-US"/>
        </w:rPr>
      </w:pPr>
      <w:r w:rsidRPr="008B7F94">
        <w:rPr>
          <w:position w:val="-36"/>
        </w:rPr>
        <w:object w:dxaOrig="3200" w:dyaOrig="859">
          <v:shape id="_x0000_i1045" type="#_x0000_t75" style="width:159.9pt;height:42.95pt" o:ole="">
            <v:imagedata r:id="rId48" o:title=""/>
          </v:shape>
          <o:OLEObject Type="Embed" ProgID="Equation.3" ShapeID="_x0000_i1045" DrawAspect="Content" ObjectID="_1487181809" r:id="rId49"/>
        </w:object>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t>(A18b).</w:t>
      </w:r>
    </w:p>
    <w:p w:rsidR="00D03C79" w:rsidRPr="008B7F94" w:rsidRDefault="00D03C79" w:rsidP="00D03C79">
      <w:pPr>
        <w:spacing w:line="360" w:lineRule="auto"/>
        <w:rPr>
          <w:lang w:val="en-US"/>
        </w:rPr>
      </w:pPr>
      <w:r w:rsidRPr="008B7F94">
        <w:rPr>
          <w:lang w:val="en-US"/>
        </w:rPr>
        <w:t xml:space="preserve">After solving the system of equations A18a – A18b for </w:t>
      </w:r>
      <w:proofErr w:type="gramStart"/>
      <w:r w:rsidRPr="008B7F94">
        <w:rPr>
          <w:i/>
          <w:lang w:val="en-US"/>
        </w:rPr>
        <w:t>V</w:t>
      </w:r>
      <w:r w:rsidRPr="008B7F94">
        <w:rPr>
          <w:i/>
          <w:vertAlign w:val="subscript"/>
          <w:lang w:val="en-US"/>
        </w:rPr>
        <w:t>o</w:t>
      </w:r>
      <w:proofErr w:type="gramEnd"/>
      <w:r w:rsidRPr="008B7F94">
        <w:rPr>
          <w:lang w:val="en-US"/>
        </w:rPr>
        <w:t xml:space="preserve"> and </w:t>
      </w:r>
      <w:r w:rsidRPr="008B7F94">
        <w:rPr>
          <w:i/>
          <w:lang w:val="en-US"/>
        </w:rPr>
        <w:t>V</w:t>
      </w:r>
      <w:r w:rsidRPr="008B7F94">
        <w:rPr>
          <w:i/>
          <w:vertAlign w:val="subscript"/>
          <w:lang w:val="en-US"/>
        </w:rPr>
        <w:t>i</w:t>
      </w:r>
      <w:r w:rsidRPr="008B7F94">
        <w:rPr>
          <w:lang w:val="en-US"/>
        </w:rPr>
        <w:t xml:space="preserve">, one can find the extracellular current as </w:t>
      </w:r>
    </w:p>
    <w:p w:rsidR="00D03C79" w:rsidRPr="008B7F94" w:rsidRDefault="00D03C79" w:rsidP="00D03C79">
      <w:pPr>
        <w:spacing w:line="360" w:lineRule="auto"/>
        <w:rPr>
          <w:lang w:val="en-US"/>
        </w:rPr>
      </w:pPr>
      <w:r w:rsidRPr="008B7F94">
        <w:rPr>
          <w:lang w:val="en-US"/>
        </w:rPr>
        <w:tab/>
      </w:r>
      <w:r w:rsidRPr="008B7F94">
        <w:rPr>
          <w:position w:val="-34"/>
        </w:rPr>
        <w:object w:dxaOrig="1359" w:dyaOrig="780">
          <v:shape id="_x0000_i1046" type="#_x0000_t75" style="width:67.6pt;height:38.6pt" o:ole="">
            <v:imagedata r:id="rId50" o:title=""/>
          </v:shape>
          <o:OLEObject Type="Embed" ProgID="Equation.3" ShapeID="_x0000_i1046" DrawAspect="Content" ObjectID="_1487181810" r:id="rId51"/>
        </w:object>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t>(A19).</w:t>
      </w:r>
    </w:p>
    <w:p w:rsidR="00D03C79" w:rsidRPr="008B7F94" w:rsidRDefault="00D03C79" w:rsidP="00D03C79">
      <w:pPr>
        <w:spacing w:line="360" w:lineRule="auto"/>
        <w:rPr>
          <w:lang w:val="en-US"/>
        </w:rPr>
      </w:pPr>
      <w:r w:rsidRPr="008B7F94">
        <w:rPr>
          <w:lang w:val="en-US"/>
        </w:rPr>
        <w:tab/>
        <w:t xml:space="preserve">The step response </w:t>
      </w:r>
      <w:proofErr w:type="gramStart"/>
      <w:r w:rsidRPr="008B7F94">
        <w:rPr>
          <w:i/>
          <w:lang w:val="en-US"/>
        </w:rPr>
        <w:t>h(</w:t>
      </w:r>
      <w:proofErr w:type="gramEnd"/>
      <w:r w:rsidRPr="008B7F94">
        <w:rPr>
          <w:i/>
          <w:lang w:val="en-US"/>
        </w:rPr>
        <w:t>t)</w:t>
      </w:r>
      <w:r w:rsidRPr="008B7F94">
        <w:rPr>
          <w:lang w:val="en-US"/>
        </w:rPr>
        <w:t xml:space="preserve"> (that is, </w:t>
      </w:r>
      <w:r w:rsidRPr="008B7F94">
        <w:rPr>
          <w:i/>
          <w:lang w:val="en-US"/>
        </w:rPr>
        <w:t>j</w:t>
      </w:r>
      <w:r w:rsidRPr="008B7F94">
        <w:rPr>
          <w:i/>
          <w:vertAlign w:val="subscript"/>
          <w:lang w:val="en-US"/>
        </w:rPr>
        <w:t>e</w:t>
      </w:r>
      <w:r w:rsidRPr="008B7F94">
        <w:rPr>
          <w:i/>
          <w:lang w:val="en-US"/>
        </w:rPr>
        <w:t>(t)</w:t>
      </w:r>
      <w:r w:rsidRPr="008B7F94">
        <w:rPr>
          <w:lang w:val="en-US"/>
        </w:rPr>
        <w:t xml:space="preserve"> in response to a unit step of </w:t>
      </w:r>
      <w:proofErr w:type="spellStart"/>
      <w:r w:rsidRPr="008B7F94">
        <w:rPr>
          <w:i/>
          <w:lang w:val="en-US"/>
        </w:rPr>
        <w:t>j</w:t>
      </w:r>
      <w:r w:rsidRPr="008B7F94">
        <w:rPr>
          <w:i/>
          <w:vertAlign w:val="subscript"/>
          <w:lang w:val="en-US"/>
        </w:rPr>
        <w:t>P</w:t>
      </w:r>
      <w:proofErr w:type="spellEnd"/>
      <w:r w:rsidRPr="008B7F94">
        <w:rPr>
          <w:lang w:val="en-US"/>
        </w:rPr>
        <w:t>) can be found analytically as</w:t>
      </w:r>
    </w:p>
    <w:p w:rsidR="00D03C79" w:rsidRPr="008B7F94" w:rsidRDefault="00D03C79" w:rsidP="00D03C79">
      <w:pPr>
        <w:spacing w:line="360" w:lineRule="auto"/>
        <w:rPr>
          <w:lang w:val="en-US"/>
        </w:rPr>
      </w:pPr>
      <w:r w:rsidRPr="008B7F94">
        <w:rPr>
          <w:lang w:val="en-US"/>
        </w:rPr>
        <w:tab/>
      </w:r>
      <w:r w:rsidRPr="008B7F94">
        <w:rPr>
          <w:position w:val="-12"/>
        </w:rPr>
        <w:object w:dxaOrig="5319" w:dyaOrig="380">
          <v:shape id="_x0000_i1047" type="#_x0000_t75" style="width:266.1pt;height:18.3pt" o:ole="">
            <v:imagedata r:id="rId52" o:title=""/>
          </v:shape>
          <o:OLEObject Type="Embed" ProgID="Equation.3" ShapeID="_x0000_i1047" DrawAspect="Content" ObjectID="_1487181811" r:id="rId53"/>
        </w:object>
      </w:r>
      <w:r w:rsidRPr="008B7F94">
        <w:rPr>
          <w:lang w:val="en-US"/>
        </w:rPr>
        <w:tab/>
      </w:r>
      <w:r w:rsidRPr="008B7F94">
        <w:rPr>
          <w:lang w:val="en-US"/>
        </w:rPr>
        <w:tab/>
        <w:t>(A20).</w:t>
      </w:r>
    </w:p>
    <w:p w:rsidR="00D03C79" w:rsidRPr="008B7F94" w:rsidRDefault="00D03C79" w:rsidP="00D03C79">
      <w:pPr>
        <w:spacing w:line="360" w:lineRule="auto"/>
        <w:rPr>
          <w:lang w:val="en-US"/>
        </w:rPr>
      </w:pPr>
      <w:r w:rsidRPr="008B7F94">
        <w:rPr>
          <w:lang w:val="en-US"/>
        </w:rPr>
        <w:t xml:space="preserve">The suction current </w:t>
      </w:r>
      <w:proofErr w:type="gramStart"/>
      <w:r w:rsidRPr="008B7F94">
        <w:rPr>
          <w:i/>
          <w:lang w:val="en-US"/>
        </w:rPr>
        <w:t>j</w:t>
      </w:r>
      <w:r w:rsidRPr="008B7F94">
        <w:rPr>
          <w:i/>
          <w:vertAlign w:val="subscript"/>
          <w:lang w:val="en-US"/>
        </w:rPr>
        <w:t>e</w:t>
      </w:r>
      <w:r w:rsidRPr="008B7F94">
        <w:rPr>
          <w:i/>
          <w:lang w:val="en-US"/>
        </w:rPr>
        <w:t>(</w:t>
      </w:r>
      <w:proofErr w:type="gramEnd"/>
      <w:r w:rsidRPr="008B7F94">
        <w:rPr>
          <w:i/>
          <w:lang w:val="en-US"/>
        </w:rPr>
        <w:t>t)</w:t>
      </w:r>
      <w:r w:rsidRPr="008B7F94">
        <w:rPr>
          <w:lang w:val="en-US"/>
        </w:rPr>
        <w:t xml:space="preserve"> in response to arbitrary photocurrent </w:t>
      </w:r>
      <w:proofErr w:type="spellStart"/>
      <w:r w:rsidRPr="008B7F94">
        <w:rPr>
          <w:i/>
          <w:lang w:val="en-US"/>
        </w:rPr>
        <w:t>j</w:t>
      </w:r>
      <w:r w:rsidRPr="008B7F94">
        <w:rPr>
          <w:i/>
          <w:vertAlign w:val="subscript"/>
          <w:lang w:val="en-US"/>
        </w:rPr>
        <w:t>P</w:t>
      </w:r>
      <w:proofErr w:type="spellEnd"/>
      <w:r w:rsidRPr="008B7F94">
        <w:rPr>
          <w:i/>
          <w:lang w:val="en-US"/>
        </w:rPr>
        <w:t>(t)</w:t>
      </w:r>
      <w:r w:rsidRPr="008B7F94">
        <w:rPr>
          <w:lang w:val="en-US"/>
        </w:rPr>
        <w:t xml:space="preserve"> can further be calculated as a convolution of </w:t>
      </w:r>
      <w:r w:rsidRPr="008B7F94">
        <w:rPr>
          <w:i/>
          <w:lang w:val="en-US"/>
        </w:rPr>
        <w:t>h(t)</w:t>
      </w:r>
      <w:r w:rsidRPr="008B7F94">
        <w:rPr>
          <w:lang w:val="en-US"/>
        </w:rPr>
        <w:t xml:space="preserve"> and </w:t>
      </w:r>
      <w:proofErr w:type="spellStart"/>
      <w:r w:rsidRPr="008B7F94">
        <w:rPr>
          <w:i/>
          <w:lang w:val="en-US"/>
        </w:rPr>
        <w:t>j</w:t>
      </w:r>
      <w:r w:rsidRPr="008B7F94">
        <w:rPr>
          <w:i/>
          <w:vertAlign w:val="subscript"/>
          <w:lang w:val="en-US"/>
        </w:rPr>
        <w:t>P</w:t>
      </w:r>
      <w:proofErr w:type="spellEnd"/>
      <w:r w:rsidRPr="008B7F94">
        <w:rPr>
          <w:i/>
          <w:lang w:val="en-US"/>
        </w:rPr>
        <w:t>(t)</w:t>
      </w:r>
      <w:r w:rsidRPr="008B7F94">
        <w:rPr>
          <w:lang w:val="en-US"/>
        </w:rPr>
        <w:t>.</w:t>
      </w:r>
    </w:p>
    <w:p w:rsidR="00D03C79" w:rsidRPr="008B7F94" w:rsidRDefault="00D03C79" w:rsidP="00D03C79">
      <w:pPr>
        <w:spacing w:line="360" w:lineRule="auto"/>
        <w:rPr>
          <w:lang w:val="en-US"/>
        </w:rPr>
      </w:pPr>
      <w:r w:rsidRPr="008B7F94">
        <w:rPr>
          <w:lang w:val="en-US"/>
        </w:rPr>
        <w:tab/>
        <w:t xml:space="preserve">The resulting formulae for </w:t>
      </w:r>
      <w:r w:rsidRPr="008B7F94">
        <w:rPr>
          <w:i/>
          <w:lang w:val="en-US"/>
        </w:rPr>
        <w:t xml:space="preserve">A, B, </w:t>
      </w:r>
      <w:r w:rsidRPr="008B7F94">
        <w:rPr>
          <w:rFonts w:ascii="Symbol" w:hAnsi="Symbol"/>
          <w:i/>
          <w:lang w:val="en-US"/>
        </w:rPr>
        <w:t></w:t>
      </w:r>
      <w:r w:rsidRPr="008B7F94">
        <w:rPr>
          <w:rFonts w:ascii="Symbol" w:hAnsi="Symbol"/>
          <w:i/>
          <w:vertAlign w:val="subscript"/>
          <w:lang w:val="en-US"/>
        </w:rPr>
        <w:t></w:t>
      </w:r>
      <w:r w:rsidRPr="008B7F94">
        <w:rPr>
          <w:i/>
          <w:lang w:val="en-US"/>
        </w:rPr>
        <w:t xml:space="preserve">, </w:t>
      </w:r>
      <w:r w:rsidRPr="008B7F94">
        <w:rPr>
          <w:rFonts w:ascii="Symbol" w:hAnsi="Symbol"/>
          <w:i/>
          <w:lang w:val="en-US"/>
        </w:rPr>
        <w:t></w:t>
      </w:r>
      <w:r w:rsidRPr="008B7F94">
        <w:rPr>
          <w:i/>
          <w:vertAlign w:val="subscript"/>
          <w:lang w:val="en-US"/>
        </w:rPr>
        <w:t>2</w:t>
      </w:r>
      <w:r w:rsidRPr="008B7F94">
        <w:rPr>
          <w:rFonts w:ascii="Symbol" w:hAnsi="Symbol"/>
          <w:i/>
          <w:lang w:val="en-US"/>
        </w:rPr>
        <w:t></w:t>
      </w:r>
      <w:r w:rsidRPr="008B7F94">
        <w:rPr>
          <w:lang w:val="en-US"/>
        </w:rPr>
        <w:t xml:space="preserve">are rather cumbersome, though. Therefore it is more practical to add the equations (A18a), (A18b) and (A19) to the system of other model equations (A1 – A17) that are solved numerically. It is worth noting that the step response </w:t>
      </w:r>
      <w:proofErr w:type="gramStart"/>
      <w:r w:rsidRPr="008B7F94">
        <w:rPr>
          <w:i/>
          <w:lang w:val="en-US"/>
        </w:rPr>
        <w:t>h(</w:t>
      </w:r>
      <w:proofErr w:type="gramEnd"/>
      <w:r w:rsidRPr="008B7F94">
        <w:rPr>
          <w:i/>
          <w:lang w:val="en-US"/>
        </w:rPr>
        <w:t>t)</w:t>
      </w:r>
      <w:r w:rsidRPr="008B7F94">
        <w:rPr>
          <w:lang w:val="en-US"/>
        </w:rPr>
        <w:t xml:space="preserve"> is not single-exponential as is usually assumed. It is a sum of two exponentials whose amplitudes are </w:t>
      </w:r>
      <w:r w:rsidRPr="008B7F94">
        <w:rPr>
          <w:i/>
          <w:lang w:val="en-US"/>
        </w:rPr>
        <w:t xml:space="preserve">A ≈ </w:t>
      </w:r>
      <w:proofErr w:type="spellStart"/>
      <w:r w:rsidRPr="008B7F94">
        <w:rPr>
          <w:i/>
          <w:lang w:val="en-US"/>
        </w:rPr>
        <w:t>C</w:t>
      </w:r>
      <w:r w:rsidRPr="008B7F94">
        <w:rPr>
          <w:i/>
          <w:vertAlign w:val="subscript"/>
          <w:lang w:val="en-US"/>
        </w:rPr>
        <w:t>i</w:t>
      </w:r>
      <w:proofErr w:type="spellEnd"/>
      <w:proofErr w:type="gramStart"/>
      <w:r w:rsidRPr="008B7F94">
        <w:rPr>
          <w:i/>
          <w:lang w:val="en-US"/>
        </w:rPr>
        <w:t>/(</w:t>
      </w:r>
      <w:proofErr w:type="spellStart"/>
      <w:proofErr w:type="gramEnd"/>
      <w:r w:rsidRPr="008B7F94">
        <w:rPr>
          <w:i/>
          <w:lang w:val="en-US"/>
        </w:rPr>
        <w:t>C</w:t>
      </w:r>
      <w:r w:rsidRPr="008B7F94">
        <w:rPr>
          <w:i/>
          <w:vertAlign w:val="subscript"/>
          <w:lang w:val="en-US"/>
        </w:rPr>
        <w:t>i</w:t>
      </w:r>
      <w:r w:rsidRPr="008B7F94">
        <w:rPr>
          <w:i/>
          <w:lang w:val="en-US"/>
        </w:rPr>
        <w:t>+C</w:t>
      </w:r>
      <w:r w:rsidRPr="008B7F94">
        <w:rPr>
          <w:i/>
          <w:vertAlign w:val="subscript"/>
          <w:lang w:val="en-US"/>
        </w:rPr>
        <w:t>o</w:t>
      </w:r>
      <w:proofErr w:type="spellEnd"/>
      <w:r w:rsidRPr="008B7F94">
        <w:rPr>
          <w:i/>
          <w:lang w:val="en-US"/>
        </w:rPr>
        <w:t>)</w:t>
      </w:r>
      <w:r w:rsidRPr="008B7F94">
        <w:rPr>
          <w:lang w:val="en-US"/>
        </w:rPr>
        <w:t xml:space="preserve">, </w:t>
      </w:r>
      <w:r w:rsidRPr="008B7F94">
        <w:rPr>
          <w:i/>
          <w:lang w:val="en-US"/>
        </w:rPr>
        <w:t>B = 1-A</w:t>
      </w:r>
      <w:r w:rsidRPr="008B7F94">
        <w:rPr>
          <w:lang w:val="en-US"/>
        </w:rPr>
        <w:t xml:space="preserve">, and time constants </w:t>
      </w:r>
      <w:r w:rsidRPr="008B7F94">
        <w:rPr>
          <w:rFonts w:ascii="Symbol" w:hAnsi="Symbol"/>
          <w:i/>
          <w:lang w:val="en-US"/>
        </w:rPr>
        <w:t></w:t>
      </w:r>
      <w:r w:rsidRPr="008B7F94">
        <w:rPr>
          <w:rFonts w:ascii="Symbol" w:hAnsi="Symbol"/>
          <w:i/>
          <w:lang w:val="en-US"/>
        </w:rPr>
        <w:t></w:t>
      </w:r>
      <w:r w:rsidRPr="008B7F94">
        <w:rPr>
          <w:rFonts w:ascii="Symbol" w:hAnsi="Symbol"/>
          <w:i/>
          <w:lang w:val="en-US"/>
        </w:rPr>
        <w:t></w:t>
      </w:r>
      <w:r w:rsidRPr="008B7F94">
        <w:rPr>
          <w:rFonts w:ascii="Symbol" w:hAnsi="Symbol"/>
          <w:i/>
          <w:vertAlign w:val="subscript"/>
          <w:lang w:val="en-US"/>
        </w:rPr>
        <w:t></w:t>
      </w:r>
      <w:r w:rsidRPr="008B7F94">
        <w:rPr>
          <w:i/>
          <w:lang w:val="en-US"/>
        </w:rPr>
        <w:t xml:space="preserve"> ≈ </w:t>
      </w:r>
      <w:proofErr w:type="spellStart"/>
      <w:r w:rsidRPr="008B7F94">
        <w:rPr>
          <w:i/>
          <w:lang w:val="en-US"/>
        </w:rPr>
        <w:t>R</w:t>
      </w:r>
      <w:r w:rsidRPr="008B7F94">
        <w:rPr>
          <w:i/>
          <w:vertAlign w:val="subscript"/>
          <w:lang w:val="en-US"/>
        </w:rPr>
        <w:t>l</w:t>
      </w:r>
      <w:proofErr w:type="spellEnd"/>
      <w:r w:rsidRPr="008B7F94">
        <w:rPr>
          <w:i/>
          <w:lang w:val="en-US"/>
        </w:rPr>
        <w:t xml:space="preserve"> /(1/C</w:t>
      </w:r>
      <w:r w:rsidRPr="008B7F94">
        <w:rPr>
          <w:i/>
          <w:vertAlign w:val="subscript"/>
          <w:lang w:val="en-US"/>
        </w:rPr>
        <w:t>i</w:t>
      </w:r>
      <w:r w:rsidRPr="008B7F94">
        <w:rPr>
          <w:i/>
          <w:lang w:val="en-US"/>
        </w:rPr>
        <w:t>+1/C</w:t>
      </w:r>
      <w:r w:rsidRPr="008B7F94">
        <w:rPr>
          <w:i/>
          <w:vertAlign w:val="subscript"/>
          <w:lang w:val="en-US"/>
        </w:rPr>
        <w:t>o</w:t>
      </w:r>
      <w:r w:rsidRPr="008B7F94">
        <w:rPr>
          <w:i/>
          <w:lang w:val="en-US"/>
        </w:rPr>
        <w:t>)</w:t>
      </w:r>
      <w:r w:rsidRPr="008B7F94">
        <w:rPr>
          <w:lang w:val="en-US"/>
        </w:rPr>
        <w:t xml:space="preserve"> and </w:t>
      </w:r>
      <w:r w:rsidRPr="008B7F94">
        <w:rPr>
          <w:rFonts w:ascii="Symbol" w:hAnsi="Symbol"/>
          <w:i/>
          <w:lang w:val="en-US"/>
        </w:rPr>
        <w:t></w:t>
      </w:r>
      <w:r w:rsidRPr="008B7F94">
        <w:rPr>
          <w:i/>
          <w:vertAlign w:val="subscript"/>
          <w:lang w:val="en-US"/>
        </w:rPr>
        <w:t xml:space="preserve"> 2</w:t>
      </w:r>
      <w:r w:rsidRPr="008B7F94">
        <w:rPr>
          <w:rFonts w:ascii="Symbol" w:hAnsi="Symbol"/>
          <w:i/>
          <w:lang w:val="en-US"/>
        </w:rPr>
        <w:t></w:t>
      </w:r>
      <w:r w:rsidRPr="008B7F94">
        <w:rPr>
          <w:i/>
          <w:lang w:val="en-US"/>
        </w:rPr>
        <w:t xml:space="preserve"> ≈ (</w:t>
      </w:r>
      <w:proofErr w:type="spellStart"/>
      <w:r w:rsidRPr="008B7F94">
        <w:rPr>
          <w:i/>
          <w:lang w:val="en-US"/>
        </w:rPr>
        <w:t>C</w:t>
      </w:r>
      <w:r w:rsidRPr="008B7F94">
        <w:rPr>
          <w:i/>
          <w:vertAlign w:val="subscript"/>
          <w:lang w:val="en-US"/>
        </w:rPr>
        <w:t>i</w:t>
      </w:r>
      <w:r w:rsidRPr="008B7F94">
        <w:rPr>
          <w:i/>
          <w:lang w:val="en-US"/>
        </w:rPr>
        <w:t>+C</w:t>
      </w:r>
      <w:r w:rsidRPr="008B7F94">
        <w:rPr>
          <w:i/>
          <w:vertAlign w:val="subscript"/>
          <w:lang w:val="en-US"/>
        </w:rPr>
        <w:t>o</w:t>
      </w:r>
      <w:proofErr w:type="spellEnd"/>
      <w:r w:rsidRPr="008B7F94">
        <w:rPr>
          <w:i/>
          <w:lang w:val="en-US"/>
        </w:rPr>
        <w:t>)/(1/</w:t>
      </w:r>
      <w:proofErr w:type="spellStart"/>
      <w:r w:rsidRPr="008B7F94">
        <w:rPr>
          <w:i/>
          <w:lang w:val="en-US"/>
        </w:rPr>
        <w:t>R</w:t>
      </w:r>
      <w:r w:rsidRPr="008B7F94">
        <w:rPr>
          <w:i/>
          <w:vertAlign w:val="subscript"/>
          <w:lang w:val="en-US"/>
        </w:rPr>
        <w:t>i</w:t>
      </w:r>
      <w:proofErr w:type="spellEnd"/>
      <w:r w:rsidRPr="008B7F94">
        <w:rPr>
          <w:i/>
          <w:lang w:val="en-US"/>
        </w:rPr>
        <w:t xml:space="preserve"> + 1/R</w:t>
      </w:r>
      <w:r w:rsidRPr="008B7F94">
        <w:rPr>
          <w:i/>
          <w:vertAlign w:val="subscript"/>
          <w:lang w:val="en-US"/>
        </w:rPr>
        <w:t>o</w:t>
      </w:r>
      <w:r w:rsidRPr="008B7F94">
        <w:rPr>
          <w:i/>
          <w:lang w:val="en-US"/>
        </w:rPr>
        <w:t>)</w:t>
      </w:r>
      <w:r w:rsidRPr="008B7F94">
        <w:rPr>
          <w:lang w:val="en-US"/>
        </w:rPr>
        <w:t>. Sample impulse and step response functions are shown in Figure A2. With parameters typical of cones (</w:t>
      </w:r>
      <w:r w:rsidRPr="008B7F94">
        <w:rPr>
          <w:i/>
          <w:lang w:val="en-US"/>
        </w:rPr>
        <w:t>C</w:t>
      </w:r>
      <w:r w:rsidRPr="008B7F94">
        <w:rPr>
          <w:i/>
          <w:vertAlign w:val="subscript"/>
          <w:lang w:val="en-US"/>
        </w:rPr>
        <w:t>o</w:t>
      </w:r>
      <w:r w:rsidRPr="008B7F94">
        <w:rPr>
          <w:lang w:val="en-US"/>
        </w:rPr>
        <w:t xml:space="preserve"> &gt; </w:t>
      </w:r>
      <w:r w:rsidRPr="008B7F94">
        <w:rPr>
          <w:i/>
          <w:lang w:val="en-US"/>
        </w:rPr>
        <w:t>C</w:t>
      </w:r>
      <w:r w:rsidRPr="008B7F94">
        <w:rPr>
          <w:i/>
          <w:vertAlign w:val="subscript"/>
          <w:lang w:val="en-US"/>
        </w:rPr>
        <w:t>i</w:t>
      </w:r>
      <w:r w:rsidRPr="008B7F94">
        <w:rPr>
          <w:lang w:val="en-US"/>
        </w:rPr>
        <w:t xml:space="preserve">) the slower time constant </w:t>
      </w:r>
      <w:r w:rsidRPr="008B7F94">
        <w:rPr>
          <w:rFonts w:ascii="Symbol" w:hAnsi="Symbol"/>
          <w:i/>
          <w:lang w:val="en-US"/>
        </w:rPr>
        <w:t></w:t>
      </w:r>
      <w:r w:rsidRPr="008B7F94">
        <w:rPr>
          <w:i/>
          <w:vertAlign w:val="subscript"/>
          <w:lang w:val="en-US"/>
        </w:rPr>
        <w:t>2</w:t>
      </w:r>
      <w:r w:rsidRPr="008B7F94">
        <w:rPr>
          <w:i/>
          <w:lang w:val="en-US"/>
        </w:rPr>
        <w:t xml:space="preserve"> </w:t>
      </w:r>
      <w:r w:rsidRPr="008B7F94">
        <w:rPr>
          <w:lang w:val="en-US"/>
        </w:rPr>
        <w:t xml:space="preserve">is dominant, and this is the value that we further call the cell electrical time constant </w:t>
      </w:r>
      <w:r w:rsidRPr="008B7F94">
        <w:rPr>
          <w:rFonts w:ascii="Symbol" w:hAnsi="Symbol"/>
          <w:i/>
          <w:lang w:val="en-US"/>
        </w:rPr>
        <w:t></w:t>
      </w:r>
      <w:r w:rsidRPr="008B7F94">
        <w:rPr>
          <w:i/>
          <w:vertAlign w:val="subscript"/>
          <w:lang w:val="en-US"/>
        </w:rPr>
        <w:t>e</w:t>
      </w:r>
      <w:r w:rsidRPr="008B7F94">
        <w:rPr>
          <w:lang w:val="en-US"/>
        </w:rPr>
        <w:t>.</w:t>
      </w:r>
    </w:p>
    <w:p w:rsidR="00D03C79" w:rsidRPr="008B7F94" w:rsidRDefault="00D03C79" w:rsidP="00D03C79">
      <w:pPr>
        <w:spacing w:line="360" w:lineRule="auto"/>
        <w:rPr>
          <w:rFonts w:ascii="Arial" w:hAnsi="Arial" w:cs="Arial"/>
          <w:sz w:val="20"/>
          <w:szCs w:val="20"/>
          <w:lang w:val="en-US" w:eastAsia="ru-RU"/>
        </w:rPr>
      </w:pPr>
    </w:p>
    <w:p w:rsidR="00D03C79" w:rsidRDefault="007E3B5E" w:rsidP="00D03C79">
      <w:pPr>
        <w:spacing w:line="360" w:lineRule="auto"/>
        <w:rPr>
          <w:b/>
          <w:lang w:val="en-US"/>
        </w:rPr>
      </w:pPr>
      <w:r w:rsidRPr="008B7F94">
        <w:rPr>
          <w:noProof/>
          <w:lang w:eastAsia="ru-RU"/>
        </w:rPr>
        <w:lastRenderedPageBreak/>
        <w:drawing>
          <wp:inline distT="0" distB="0" distL="0" distR="0">
            <wp:extent cx="4836732" cy="3723275"/>
            <wp:effectExtent l="19050" t="0" r="1968" b="0"/>
            <wp:docPr id="2" name="Рисунок 1" descr="figure_a2rev.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a2rev.tif"/>
                    <pic:cNvPicPr/>
                  </pic:nvPicPr>
                  <pic:blipFill>
                    <a:blip r:embed="rId54" cstate="print"/>
                    <a:stretch>
                      <a:fillRect/>
                    </a:stretch>
                  </pic:blipFill>
                  <pic:spPr>
                    <a:xfrm>
                      <a:off x="0" y="0"/>
                      <a:ext cx="4843174" cy="3728234"/>
                    </a:xfrm>
                    <a:prstGeom prst="rect">
                      <a:avLst/>
                    </a:prstGeom>
                  </pic:spPr>
                </pic:pic>
              </a:graphicData>
            </a:graphic>
          </wp:inline>
        </w:drawing>
      </w:r>
    </w:p>
    <w:p w:rsidR="007235A0" w:rsidRPr="008B7F94" w:rsidRDefault="007235A0" w:rsidP="007235A0">
      <w:pPr>
        <w:autoSpaceDE w:val="0"/>
        <w:autoSpaceDN w:val="0"/>
        <w:adjustRightInd w:val="0"/>
        <w:spacing w:line="276" w:lineRule="auto"/>
        <w:rPr>
          <w:lang w:val="en-US"/>
        </w:rPr>
      </w:pPr>
      <w:r w:rsidRPr="008B7F94">
        <w:rPr>
          <w:lang w:val="en-US" w:eastAsia="ru-RU"/>
        </w:rPr>
        <w:t>Figure A2.</w:t>
      </w:r>
      <w:r w:rsidRPr="008B7F94">
        <w:rPr>
          <w:b/>
          <w:lang w:val="en-US" w:eastAsia="ru-RU"/>
        </w:rPr>
        <w:t xml:space="preserve"> </w:t>
      </w:r>
      <w:r w:rsidRPr="008B7F94">
        <w:rPr>
          <w:lang w:val="en-US" w:eastAsia="ru-RU"/>
        </w:rPr>
        <w:t>Sample pulse (</w:t>
      </w:r>
      <w:proofErr w:type="gramStart"/>
      <w:r w:rsidRPr="008B7F94">
        <w:rPr>
          <w:i/>
          <w:lang w:val="en-US" w:eastAsia="ru-RU"/>
        </w:rPr>
        <w:t>g(</w:t>
      </w:r>
      <w:proofErr w:type="gramEnd"/>
      <w:r w:rsidRPr="008B7F94">
        <w:rPr>
          <w:i/>
          <w:lang w:val="en-US" w:eastAsia="ru-RU"/>
        </w:rPr>
        <w:t>t)</w:t>
      </w:r>
      <w:r w:rsidRPr="008B7F94">
        <w:rPr>
          <w:lang w:val="en-US" w:eastAsia="ru-RU"/>
        </w:rPr>
        <w:t>) and step (</w:t>
      </w:r>
      <w:r w:rsidRPr="008B7F94">
        <w:rPr>
          <w:i/>
          <w:lang w:val="en-US" w:eastAsia="ru-RU"/>
        </w:rPr>
        <w:t>h(t)</w:t>
      </w:r>
      <w:r w:rsidRPr="008B7F94">
        <w:rPr>
          <w:lang w:val="en-US" w:eastAsia="ru-RU"/>
        </w:rPr>
        <w:t xml:space="preserve">) response of a cone according to the circuit in Figure A1, panel A. </w:t>
      </w:r>
      <w:proofErr w:type="spellStart"/>
      <w:r w:rsidRPr="008B7F94">
        <w:rPr>
          <w:i/>
          <w:lang w:val="en-US" w:eastAsia="ru-RU"/>
        </w:rPr>
        <w:t>R</w:t>
      </w:r>
      <w:r w:rsidRPr="008B7F94">
        <w:rPr>
          <w:i/>
          <w:vertAlign w:val="subscript"/>
          <w:lang w:val="en-US" w:eastAsia="ru-RU"/>
        </w:rPr>
        <w:t>i</w:t>
      </w:r>
      <w:proofErr w:type="spellEnd"/>
      <w:r w:rsidRPr="008B7F94">
        <w:rPr>
          <w:vertAlign w:val="subscript"/>
          <w:lang w:val="en-US" w:eastAsia="ru-RU"/>
        </w:rPr>
        <w:t xml:space="preserve"> </w:t>
      </w:r>
      <w:r w:rsidRPr="008B7F94">
        <w:rPr>
          <w:lang w:val="en-US" w:eastAsia="ru-RU"/>
        </w:rPr>
        <w:t xml:space="preserve">= 400 </w:t>
      </w:r>
      <w:proofErr w:type="spellStart"/>
      <w:r w:rsidRPr="008B7F94">
        <w:rPr>
          <w:lang w:val="en-US" w:eastAsia="ru-RU"/>
        </w:rPr>
        <w:t>MOhm</w:t>
      </w:r>
      <w:proofErr w:type="spellEnd"/>
      <w:r w:rsidRPr="008B7F94">
        <w:rPr>
          <w:lang w:val="en-US" w:eastAsia="ru-RU"/>
        </w:rPr>
        <w:t xml:space="preserve">, </w:t>
      </w:r>
      <w:proofErr w:type="spellStart"/>
      <w:r w:rsidRPr="008B7F94">
        <w:rPr>
          <w:i/>
          <w:lang w:val="en-US" w:eastAsia="ru-RU"/>
        </w:rPr>
        <w:t>R</w:t>
      </w:r>
      <w:r w:rsidRPr="008B7F94">
        <w:rPr>
          <w:i/>
          <w:vertAlign w:val="subscript"/>
          <w:lang w:val="en-US" w:eastAsia="ru-RU"/>
        </w:rPr>
        <w:t>l</w:t>
      </w:r>
      <w:proofErr w:type="spellEnd"/>
      <w:r w:rsidRPr="008B7F94">
        <w:rPr>
          <w:lang w:val="en-US" w:eastAsia="ru-RU"/>
        </w:rPr>
        <w:t xml:space="preserve"> = 30 </w:t>
      </w:r>
      <w:proofErr w:type="spellStart"/>
      <w:r w:rsidRPr="008B7F94">
        <w:rPr>
          <w:lang w:val="en-US" w:eastAsia="ru-RU"/>
        </w:rPr>
        <w:t>MOhm</w:t>
      </w:r>
      <w:proofErr w:type="spellEnd"/>
      <w:r w:rsidRPr="008B7F94">
        <w:rPr>
          <w:lang w:val="en-US" w:eastAsia="ru-RU"/>
        </w:rPr>
        <w:t xml:space="preserve">, </w:t>
      </w:r>
      <w:r w:rsidRPr="008B7F94">
        <w:rPr>
          <w:i/>
          <w:lang w:val="en-US" w:eastAsia="ru-RU"/>
        </w:rPr>
        <w:t>C</w:t>
      </w:r>
      <w:r w:rsidRPr="008B7F94">
        <w:rPr>
          <w:i/>
          <w:vertAlign w:val="subscript"/>
          <w:lang w:val="en-US" w:eastAsia="ru-RU"/>
        </w:rPr>
        <w:t>o</w:t>
      </w:r>
      <w:r w:rsidRPr="008B7F94">
        <w:rPr>
          <w:lang w:val="en-US" w:eastAsia="ru-RU"/>
        </w:rPr>
        <w:t xml:space="preserve"> = 50 pF, </w:t>
      </w:r>
      <w:proofErr w:type="spellStart"/>
      <w:r w:rsidRPr="008B7F94">
        <w:rPr>
          <w:i/>
          <w:lang w:val="en-US" w:eastAsia="ru-RU"/>
        </w:rPr>
        <w:t>C</w:t>
      </w:r>
      <w:r w:rsidRPr="008B7F94">
        <w:rPr>
          <w:i/>
          <w:vertAlign w:val="subscript"/>
          <w:lang w:val="en-US" w:eastAsia="ru-RU"/>
        </w:rPr>
        <w:t>i</w:t>
      </w:r>
      <w:proofErr w:type="spellEnd"/>
      <w:r w:rsidRPr="008B7F94">
        <w:rPr>
          <w:vertAlign w:val="subscript"/>
          <w:lang w:val="en-US" w:eastAsia="ru-RU"/>
        </w:rPr>
        <w:t xml:space="preserve"> </w:t>
      </w:r>
      <w:r w:rsidRPr="008B7F94">
        <w:rPr>
          <w:lang w:val="en-US" w:eastAsia="ru-RU"/>
        </w:rPr>
        <w:t xml:space="preserve">= 10 pF, </w:t>
      </w:r>
      <w:r w:rsidRPr="008B7F94">
        <w:rPr>
          <w:rFonts w:ascii="Symbol" w:hAnsi="Symbol"/>
          <w:i/>
          <w:lang w:val="en-US" w:eastAsia="ru-RU"/>
        </w:rPr>
        <w:t></w:t>
      </w:r>
      <w:r w:rsidRPr="008B7F94">
        <w:rPr>
          <w:i/>
          <w:vertAlign w:val="subscript"/>
          <w:lang w:val="en-US" w:eastAsia="ru-RU"/>
        </w:rPr>
        <w:t>1</w:t>
      </w:r>
      <w:r w:rsidRPr="008B7F94">
        <w:rPr>
          <w:rFonts w:ascii="Symbol" w:hAnsi="Symbol"/>
          <w:i/>
          <w:lang w:val="en-US" w:eastAsia="ru-RU"/>
        </w:rPr>
        <w:t></w:t>
      </w:r>
      <w:r w:rsidRPr="008B7F94">
        <w:rPr>
          <w:rFonts w:ascii="Symbol" w:hAnsi="Symbol"/>
          <w:lang w:val="en-US" w:eastAsia="ru-RU"/>
        </w:rPr>
        <w:t></w:t>
      </w:r>
      <w:r w:rsidRPr="008B7F94">
        <w:rPr>
          <w:rFonts w:ascii="Symbol" w:hAnsi="Symbol"/>
          <w:lang w:val="en-US" w:eastAsia="ru-RU"/>
        </w:rPr>
        <w:t></w:t>
      </w:r>
      <w:r w:rsidRPr="008B7F94">
        <w:rPr>
          <w:rFonts w:ascii="Symbol" w:hAnsi="Symbol"/>
          <w:lang w:val="en-US" w:eastAsia="ru-RU"/>
        </w:rPr>
        <w:t></w:t>
      </w:r>
      <w:r w:rsidRPr="008B7F94">
        <w:rPr>
          <w:rFonts w:ascii="Symbol" w:hAnsi="Symbol"/>
          <w:lang w:val="en-US" w:eastAsia="ru-RU"/>
        </w:rPr>
        <w:t></w:t>
      </w:r>
      <w:r w:rsidRPr="008B7F94">
        <w:rPr>
          <w:rFonts w:ascii="Symbol" w:hAnsi="Symbol"/>
          <w:lang w:val="en-US" w:eastAsia="ru-RU"/>
        </w:rPr>
        <w:t></w:t>
      </w:r>
      <w:r w:rsidRPr="008B7F94">
        <w:rPr>
          <w:rFonts w:ascii="Symbol" w:hAnsi="Symbol"/>
          <w:lang w:val="en-US" w:eastAsia="ru-RU"/>
        </w:rPr>
        <w:t></w:t>
      </w:r>
      <w:r w:rsidRPr="008B7F94">
        <w:rPr>
          <w:rFonts w:ascii="Symbol" w:hAnsi="Symbol"/>
          <w:lang w:val="en-US" w:eastAsia="ru-RU"/>
        </w:rPr>
        <w:t></w:t>
      </w:r>
      <w:r w:rsidRPr="008B7F94">
        <w:rPr>
          <w:lang w:val="en-US" w:eastAsia="ru-RU"/>
        </w:rPr>
        <w:t>ms</w:t>
      </w:r>
      <w:r w:rsidRPr="008B7F94">
        <w:rPr>
          <w:rFonts w:ascii="Symbol" w:hAnsi="Symbol"/>
          <w:lang w:val="en-US" w:eastAsia="ru-RU"/>
        </w:rPr>
        <w:t></w:t>
      </w:r>
      <w:r w:rsidRPr="008B7F94">
        <w:rPr>
          <w:rFonts w:ascii="Symbol" w:hAnsi="Symbol"/>
          <w:lang w:val="en-US" w:eastAsia="ru-RU"/>
        </w:rPr>
        <w:t></w:t>
      </w:r>
      <w:r w:rsidRPr="008B7F94">
        <w:rPr>
          <w:rFonts w:ascii="Symbol" w:hAnsi="Symbol"/>
          <w:i/>
          <w:lang w:val="en-US" w:eastAsia="ru-RU"/>
        </w:rPr>
        <w:t></w:t>
      </w:r>
      <w:r w:rsidRPr="008B7F94">
        <w:rPr>
          <w:i/>
          <w:vertAlign w:val="subscript"/>
          <w:lang w:val="en-US" w:eastAsia="ru-RU"/>
        </w:rPr>
        <w:t>2</w:t>
      </w:r>
      <w:r w:rsidRPr="008B7F94">
        <w:rPr>
          <w:i/>
          <w:lang w:val="en-US" w:eastAsia="ru-RU"/>
        </w:rPr>
        <w:t xml:space="preserve"> </w:t>
      </w:r>
      <w:r w:rsidRPr="008B7F94">
        <w:rPr>
          <w:lang w:val="en-US" w:eastAsia="ru-RU"/>
        </w:rPr>
        <w:t xml:space="preserve">= 25 </w:t>
      </w:r>
      <w:proofErr w:type="spellStart"/>
      <w:r w:rsidRPr="008B7F94">
        <w:rPr>
          <w:lang w:val="en-US" w:eastAsia="ru-RU"/>
        </w:rPr>
        <w:t>ms.</w:t>
      </w:r>
      <w:proofErr w:type="spellEnd"/>
      <w:r w:rsidRPr="008B7F94">
        <w:rPr>
          <w:lang w:val="en-US" w:eastAsia="ru-RU"/>
        </w:rPr>
        <w:t xml:space="preserve"> Capacitances are estimated from cones’ dimensions assuming the specific membrane capacitance of 1 </w:t>
      </w:r>
      <w:r w:rsidRPr="008B7F94">
        <w:rPr>
          <w:rFonts w:ascii="Symbol" w:hAnsi="Symbol"/>
          <w:lang w:val="en-US" w:eastAsia="ru-RU"/>
        </w:rPr>
        <w:t></w:t>
      </w:r>
      <w:r w:rsidRPr="008B7F94">
        <w:rPr>
          <w:lang w:val="en-US" w:eastAsia="ru-RU"/>
        </w:rPr>
        <w:t>F</w:t>
      </w:r>
      <w:r w:rsidRPr="008B7F94">
        <w:rPr>
          <w:vertAlign w:val="superscript"/>
          <w:lang w:val="en-US" w:eastAsia="ru-RU"/>
        </w:rPr>
        <w:t>.</w:t>
      </w:r>
      <w:r w:rsidRPr="008B7F94">
        <w:rPr>
          <w:lang w:val="en-US" w:eastAsia="ru-RU"/>
        </w:rPr>
        <w:t>cm</w:t>
      </w:r>
      <w:r w:rsidRPr="008B7F94">
        <w:rPr>
          <w:vertAlign w:val="superscript"/>
          <w:lang w:val="en-US" w:eastAsia="ru-RU"/>
        </w:rPr>
        <w:t>-2</w:t>
      </w:r>
      <w:r w:rsidRPr="008B7F94">
        <w:rPr>
          <w:lang w:val="en-US" w:eastAsia="ru-RU"/>
        </w:rPr>
        <w:t>.</w:t>
      </w:r>
    </w:p>
    <w:p w:rsidR="007235A0" w:rsidRPr="008B7F94" w:rsidRDefault="007235A0" w:rsidP="00D03C79">
      <w:pPr>
        <w:spacing w:line="360" w:lineRule="auto"/>
        <w:rPr>
          <w:b/>
          <w:lang w:val="en-US"/>
        </w:rPr>
      </w:pPr>
    </w:p>
    <w:p w:rsidR="00D03C79" w:rsidRPr="008B7F94" w:rsidRDefault="00D03C79" w:rsidP="00D03C79">
      <w:pPr>
        <w:spacing w:line="360" w:lineRule="auto"/>
        <w:outlineLvl w:val="0"/>
        <w:rPr>
          <w:i/>
          <w:lang w:val="en-US"/>
        </w:rPr>
      </w:pPr>
      <w:r w:rsidRPr="008B7F94">
        <w:rPr>
          <w:lang w:val="en-US"/>
        </w:rPr>
        <w:tab/>
      </w:r>
      <w:r w:rsidRPr="008B7F94">
        <w:rPr>
          <w:lang w:val="en-US"/>
        </w:rPr>
        <w:tab/>
      </w:r>
      <w:proofErr w:type="gramStart"/>
      <w:r w:rsidRPr="008B7F94">
        <w:rPr>
          <w:i/>
          <w:lang w:val="en-US"/>
        </w:rPr>
        <w:t>Imposing constraints on the model parameters.</w:t>
      </w:r>
      <w:proofErr w:type="gramEnd"/>
    </w:p>
    <w:p w:rsidR="00D03C79" w:rsidRPr="008B7F94" w:rsidRDefault="00D03C79" w:rsidP="00D03C79">
      <w:pPr>
        <w:spacing w:line="360" w:lineRule="auto"/>
        <w:rPr>
          <w:lang w:val="en-US"/>
        </w:rPr>
      </w:pPr>
      <w:r w:rsidRPr="008B7F94">
        <w:rPr>
          <w:lang w:val="en-US"/>
        </w:rPr>
        <w:t xml:space="preserve">The MEM includes over 30 parameters. Values of some of them are (relatively) reliably known from direct measurements (e.g. </w:t>
      </w:r>
      <w:proofErr w:type="spellStart"/>
      <w:r w:rsidRPr="008B7F94">
        <w:rPr>
          <w:i/>
          <w:lang w:val="en-US"/>
        </w:rPr>
        <w:t>k</w:t>
      </w:r>
      <w:r w:rsidRPr="008B7F94">
        <w:rPr>
          <w:i/>
          <w:vertAlign w:val="subscript"/>
          <w:lang w:val="en-US"/>
        </w:rPr>
        <w:t>cat</w:t>
      </w:r>
      <w:proofErr w:type="spellEnd"/>
      <w:r w:rsidRPr="008B7F94">
        <w:rPr>
          <w:lang w:val="en-US"/>
        </w:rPr>
        <w:t xml:space="preserve"> and </w:t>
      </w:r>
      <w:r w:rsidRPr="008B7F94">
        <w:rPr>
          <w:i/>
          <w:lang w:val="en-US"/>
        </w:rPr>
        <w:t>K</w:t>
      </w:r>
      <w:r w:rsidRPr="008B7F94">
        <w:rPr>
          <w:i/>
          <w:vertAlign w:val="subscript"/>
          <w:lang w:val="en-US"/>
        </w:rPr>
        <w:t>M</w:t>
      </w:r>
      <w:r w:rsidRPr="008B7F94">
        <w:rPr>
          <w:lang w:val="en-US"/>
        </w:rPr>
        <w:t xml:space="preserve"> of the PDE, or the parameters of the control of the GC by Ca</w:t>
      </w:r>
      <w:r w:rsidRPr="008B7F94">
        <w:rPr>
          <w:vertAlign w:val="superscript"/>
          <w:lang w:val="en-US"/>
        </w:rPr>
        <w:t>2+</w:t>
      </w:r>
      <w:r w:rsidR="0001081A" w:rsidRPr="008B7F94">
        <w:rPr>
          <w:lang w:val="en-US"/>
        </w:rPr>
        <w:t xml:space="preserve"> and of the CNG channel</w:t>
      </w:r>
      <w:r w:rsidRPr="008B7F94">
        <w:rPr>
          <w:lang w:val="en-US"/>
        </w:rPr>
        <w:t xml:space="preserve"> gating by cGMP; for the sources of data, see comments to Table A2). Some others are mainly interdependent scaling factors that must be varied in a concerted way when fitting the model to experimental data. However, many parameters are crucial for the model functioning, but their values are just guessed and can differ by orders of magnitude among the models available in literature. The resulting freedom of fitting makes quantitative conclusions derived from modeling mostly meaningless </w:t>
      </w:r>
      <w:r w:rsidRPr="007235A0">
        <w:rPr>
          <w:lang w:val="en-US"/>
        </w:rPr>
        <w:t>(see Figure 3B in the main text).</w:t>
      </w:r>
      <w:r w:rsidRPr="008B7F94">
        <w:rPr>
          <w:lang w:val="en-US"/>
        </w:rPr>
        <w:t xml:space="preserve"> Thus we made a special set of measurements to impose experimental constraints on some critical parameters, such as </w:t>
      </w:r>
      <w:proofErr w:type="spellStart"/>
      <w:r w:rsidRPr="008B7F94">
        <w:rPr>
          <w:i/>
          <w:lang w:val="en-US"/>
        </w:rPr>
        <w:t>cG</w:t>
      </w:r>
      <w:r w:rsidRPr="008B7F94">
        <w:rPr>
          <w:i/>
          <w:vertAlign w:val="subscript"/>
          <w:lang w:val="en-US"/>
        </w:rPr>
        <w:t>dark</w:t>
      </w:r>
      <w:proofErr w:type="spellEnd"/>
      <w:r w:rsidRPr="008B7F94">
        <w:rPr>
          <w:lang w:val="en-US"/>
        </w:rPr>
        <w:t>/</w:t>
      </w:r>
      <w:r w:rsidRPr="008B7F94">
        <w:rPr>
          <w:i/>
          <w:lang w:val="en-US"/>
        </w:rPr>
        <w:t>K</w:t>
      </w:r>
      <w:r w:rsidRPr="008B7F94">
        <w:rPr>
          <w:i/>
          <w:vertAlign w:val="subscript"/>
          <w:lang w:val="en-US"/>
        </w:rPr>
        <w:t>M</w:t>
      </w:r>
      <w:r w:rsidRPr="008B7F94">
        <w:rPr>
          <w:lang w:val="en-US"/>
        </w:rPr>
        <w:t xml:space="preserve">, </w:t>
      </w:r>
      <w:r w:rsidRPr="008B7F94">
        <w:rPr>
          <w:i/>
          <w:lang w:val="en-US"/>
        </w:rPr>
        <w:t>Ca</w:t>
      </w:r>
      <w:r w:rsidRPr="008B7F94">
        <w:rPr>
          <w:i/>
          <w:vertAlign w:val="superscript"/>
          <w:lang w:val="en-US"/>
        </w:rPr>
        <w:t>2+</w:t>
      </w:r>
      <w:r w:rsidRPr="008B7F94">
        <w:rPr>
          <w:i/>
          <w:vertAlign w:val="subscript"/>
          <w:lang w:val="en-US"/>
        </w:rPr>
        <w:t>dark</w:t>
      </w:r>
      <w:r w:rsidRPr="008B7F94">
        <w:rPr>
          <w:i/>
          <w:lang w:val="en-US"/>
        </w:rPr>
        <w:t>/</w:t>
      </w:r>
      <w:proofErr w:type="spellStart"/>
      <w:r w:rsidRPr="008B7F94">
        <w:rPr>
          <w:i/>
          <w:lang w:val="en-US"/>
        </w:rPr>
        <w:t>K</w:t>
      </w:r>
      <w:r w:rsidRPr="008B7F94">
        <w:rPr>
          <w:i/>
          <w:vertAlign w:val="subscript"/>
          <w:lang w:val="en-US"/>
        </w:rPr>
        <w:t>ex</w:t>
      </w:r>
      <w:proofErr w:type="spellEnd"/>
      <w:r w:rsidRPr="008B7F94">
        <w:rPr>
          <w:lang w:val="en-US"/>
        </w:rPr>
        <w:t>, rates of rhodopsin and transducin turnoff, dark cGMP turnover rate and the cone electrical time constant.  This was done by blocking Ca</w:t>
      </w:r>
      <w:r w:rsidRPr="008B7F94">
        <w:rPr>
          <w:vertAlign w:val="superscript"/>
          <w:lang w:val="en-US"/>
        </w:rPr>
        <w:t>2+</w:t>
      </w:r>
      <w:r w:rsidRPr="008B7F94">
        <w:rPr>
          <w:lang w:val="en-US"/>
        </w:rPr>
        <w:t xml:space="preserve"> feedback by the perfusion solution that eliminates Ca</w:t>
      </w:r>
      <w:r w:rsidRPr="008B7F94">
        <w:rPr>
          <w:vertAlign w:val="superscript"/>
          <w:lang w:val="en-US"/>
        </w:rPr>
        <w:t>2+</w:t>
      </w:r>
      <w:r w:rsidRPr="008B7F94">
        <w:rPr>
          <w:lang w:val="en-US"/>
        </w:rPr>
        <w:t xml:space="preserve"> influx due to the lack of Ca</w:t>
      </w:r>
      <w:r w:rsidRPr="008B7F94">
        <w:rPr>
          <w:vertAlign w:val="superscript"/>
          <w:lang w:val="en-US"/>
        </w:rPr>
        <w:t>2+</w:t>
      </w:r>
      <w:r w:rsidRPr="008B7F94">
        <w:rPr>
          <w:lang w:val="en-US"/>
        </w:rPr>
        <w:t>, and stops Ca</w:t>
      </w:r>
      <w:r w:rsidRPr="008B7F94">
        <w:rPr>
          <w:vertAlign w:val="superscript"/>
          <w:lang w:val="en-US"/>
        </w:rPr>
        <w:t>2+</w:t>
      </w:r>
      <w:r w:rsidRPr="008B7F94">
        <w:rPr>
          <w:lang w:val="en-US"/>
        </w:rPr>
        <w:t xml:space="preserve"> extrusion from the cytoplasm due to the lack of Na</w:t>
      </w:r>
      <w:r w:rsidRPr="008B7F94">
        <w:rPr>
          <w:vertAlign w:val="superscript"/>
          <w:lang w:val="en-US"/>
        </w:rPr>
        <w:t>+</w:t>
      </w:r>
      <w:r w:rsidRPr="008B7F94">
        <w:rPr>
          <w:lang w:val="en-US"/>
        </w:rPr>
        <w:t xml:space="preserve"> which is obligatory for driving Na</w:t>
      </w:r>
      <w:r w:rsidRPr="008B7F94">
        <w:rPr>
          <w:vertAlign w:val="superscript"/>
          <w:lang w:val="en-US"/>
        </w:rPr>
        <w:t>+</w:t>
      </w:r>
      <w:r w:rsidRPr="008B7F94">
        <w:rPr>
          <w:lang w:val="en-US"/>
        </w:rPr>
        <w:t>/Ca</w:t>
      </w:r>
      <w:r w:rsidRPr="008B7F94">
        <w:rPr>
          <w:vertAlign w:val="superscript"/>
          <w:lang w:val="en-US"/>
        </w:rPr>
        <w:t>2+</w:t>
      </w:r>
      <w:r w:rsidRPr="008B7F94">
        <w:rPr>
          <w:lang w:val="en-US"/>
        </w:rPr>
        <w:t>-K</w:t>
      </w:r>
      <w:r w:rsidRPr="008B7F94">
        <w:rPr>
          <w:vertAlign w:val="superscript"/>
          <w:lang w:val="en-US"/>
        </w:rPr>
        <w:t>+</w:t>
      </w:r>
      <w:r w:rsidRPr="008B7F94">
        <w:rPr>
          <w:lang w:val="en-US"/>
        </w:rPr>
        <w:t xml:space="preserve"> exchanger. It provided a wealth of information on the dark and light-dependent cGMP turnover.</w:t>
      </w:r>
    </w:p>
    <w:p w:rsidR="00D03C79" w:rsidRPr="008B7F94" w:rsidRDefault="00D03C79" w:rsidP="00D03C79">
      <w:pPr>
        <w:spacing w:line="360" w:lineRule="auto"/>
        <w:rPr>
          <w:lang w:val="en-US"/>
        </w:rPr>
      </w:pPr>
    </w:p>
    <w:p w:rsidR="00D03C79" w:rsidRPr="008B7F94" w:rsidRDefault="00D03C79" w:rsidP="00D03C79">
      <w:pPr>
        <w:spacing w:line="360" w:lineRule="auto"/>
        <w:rPr>
          <w:lang w:val="en-US"/>
        </w:rPr>
      </w:pPr>
      <w:r w:rsidRPr="008B7F94">
        <w:rPr>
          <w:i/>
          <w:lang w:val="en-US"/>
        </w:rPr>
        <w:t>Loop gain of the Ca</w:t>
      </w:r>
      <w:r w:rsidRPr="008B7F94">
        <w:rPr>
          <w:i/>
          <w:vertAlign w:val="superscript"/>
          <w:lang w:val="en-US"/>
        </w:rPr>
        <w:t>2+</w:t>
      </w:r>
      <w:r w:rsidRPr="008B7F94">
        <w:rPr>
          <w:i/>
          <w:lang w:val="en-US"/>
        </w:rPr>
        <w:t xml:space="preserve">-feedback: </w:t>
      </w:r>
      <w:r w:rsidRPr="008B7F94">
        <w:rPr>
          <w:lang w:val="en-US"/>
        </w:rPr>
        <w:t>Negative calcium feedback can be characterized by its loop gain which is the ratio of its steady output (</w:t>
      </w:r>
      <w:r w:rsidRPr="008B7F94">
        <w:rPr>
          <w:i/>
          <w:lang w:val="en-US"/>
        </w:rPr>
        <w:t>Out</w:t>
      </w:r>
      <w:r w:rsidRPr="008B7F94">
        <w:rPr>
          <w:lang w:val="en-US"/>
        </w:rPr>
        <w:t>) to its steady input (</w:t>
      </w:r>
      <w:r w:rsidRPr="008B7F94">
        <w:rPr>
          <w:i/>
          <w:lang w:val="en-US"/>
        </w:rPr>
        <w:t>In</w:t>
      </w:r>
      <w:r w:rsidRPr="008B7F94">
        <w:rPr>
          <w:lang w:val="en-US"/>
        </w:rPr>
        <w:t>) signal. The input is a fractional change of the Ca</w:t>
      </w:r>
      <w:r w:rsidRPr="008B7F94">
        <w:rPr>
          <w:vertAlign w:val="superscript"/>
          <w:lang w:val="en-US"/>
        </w:rPr>
        <w:t xml:space="preserve">2+ </w:t>
      </w:r>
      <w:r w:rsidRPr="008B7F94">
        <w:rPr>
          <w:lang w:val="en-US"/>
        </w:rPr>
        <w:t>influx due to the light closure of the CNG-channels, and the output, the opposing fractional change of the CNG-channel conductance that would be produced by the change of the cGMP concentration via the Ca</w:t>
      </w:r>
      <w:r w:rsidRPr="008B7F94">
        <w:rPr>
          <w:vertAlign w:val="superscript"/>
          <w:lang w:val="en-US"/>
        </w:rPr>
        <w:t>2+</w:t>
      </w:r>
      <w:r w:rsidRPr="008B7F94">
        <w:rPr>
          <w:lang w:val="en-US"/>
        </w:rPr>
        <w:t xml:space="preserve"> control of the GC. Operation of the Ca</w:t>
      </w:r>
      <w:r w:rsidRPr="008B7F94">
        <w:rPr>
          <w:vertAlign w:val="superscript"/>
          <w:lang w:val="en-US"/>
        </w:rPr>
        <w:t>2+</w:t>
      </w:r>
      <w:r w:rsidRPr="008B7F94">
        <w:rPr>
          <w:lang w:val="en-US"/>
        </w:rPr>
        <w:t xml:space="preserve">-feedback makes the electrical response small and fast; eliminating the feedback by e.g. knocking out the </w:t>
      </w:r>
      <w:r w:rsidR="0001081A" w:rsidRPr="008B7F94">
        <w:rPr>
          <w:lang w:val="en-US"/>
        </w:rPr>
        <w:t>guanylate cyclase activating proteins (</w:t>
      </w:r>
      <w:r w:rsidRPr="008B7F94">
        <w:rPr>
          <w:lang w:val="en-US"/>
        </w:rPr>
        <w:t>GCAP</w:t>
      </w:r>
      <w:r w:rsidR="0001081A" w:rsidRPr="008B7F94">
        <w:rPr>
          <w:lang w:val="en-US"/>
        </w:rPr>
        <w:t>s)</w:t>
      </w:r>
      <w:r w:rsidRPr="008B7F94">
        <w:rPr>
          <w:lang w:val="en-US"/>
        </w:rPr>
        <w:t xml:space="preserve"> greatly increases the response amplitude and duration [</w:t>
      </w:r>
      <w:r w:rsidR="005D6479" w:rsidRPr="008B7F94">
        <w:rPr>
          <w:lang w:val="en-US"/>
        </w:rPr>
        <w:t>35, 36</w:t>
      </w:r>
      <w:r w:rsidRPr="008B7F94">
        <w:rPr>
          <w:lang w:val="en-US"/>
        </w:rPr>
        <w:t xml:space="preserve">]. It can be shown that the loop gain </w:t>
      </w:r>
      <w:proofErr w:type="spellStart"/>
      <w:r w:rsidRPr="008B7F94">
        <w:rPr>
          <w:i/>
          <w:lang w:val="en-US"/>
        </w:rPr>
        <w:t>g</w:t>
      </w:r>
      <w:r w:rsidRPr="008B7F94">
        <w:rPr>
          <w:i/>
          <w:vertAlign w:val="subscript"/>
          <w:lang w:val="en-US"/>
        </w:rPr>
        <w:t>L</w:t>
      </w:r>
      <w:proofErr w:type="spellEnd"/>
      <w:r w:rsidRPr="008B7F94">
        <w:rPr>
          <w:lang w:val="en-US"/>
        </w:rPr>
        <w:t xml:space="preserve"> in a linear system (that is, at small fractional changes) is equal to the ratio of the area (time integral) of the response with disabled feedback to the area of the response with the feedback operational (</w:t>
      </w:r>
      <w:r w:rsidRPr="008B7F94">
        <w:rPr>
          <w:i/>
          <w:lang w:val="en-US"/>
        </w:rPr>
        <w:t>S</w:t>
      </w:r>
      <w:r w:rsidRPr="008B7F94">
        <w:rPr>
          <w:i/>
          <w:vertAlign w:val="subscript"/>
          <w:lang w:val="en-US"/>
        </w:rPr>
        <w:t>2</w:t>
      </w:r>
      <w:r w:rsidRPr="008B7F94">
        <w:rPr>
          <w:vertAlign w:val="subscript"/>
          <w:lang w:val="en-US"/>
        </w:rPr>
        <w:t xml:space="preserve"> </w:t>
      </w:r>
      <w:r w:rsidRPr="008B7F94">
        <w:rPr>
          <w:lang w:val="en-US"/>
        </w:rPr>
        <w:t>and</w:t>
      </w:r>
      <w:r w:rsidRPr="008B7F94">
        <w:rPr>
          <w:vertAlign w:val="subscript"/>
          <w:lang w:val="en-US"/>
        </w:rPr>
        <w:t xml:space="preserve"> </w:t>
      </w:r>
      <w:r w:rsidRPr="008B7F94">
        <w:rPr>
          <w:i/>
          <w:lang w:val="en-US"/>
        </w:rPr>
        <w:t>S</w:t>
      </w:r>
      <w:r w:rsidRPr="008B7F94">
        <w:rPr>
          <w:i/>
          <w:vertAlign w:val="subscript"/>
          <w:lang w:val="en-US"/>
        </w:rPr>
        <w:t>1</w:t>
      </w:r>
      <w:r w:rsidRPr="008B7F94">
        <w:rPr>
          <w:lang w:val="en-US"/>
        </w:rPr>
        <w:t xml:space="preserve"> in Figure A3), minus one: </w:t>
      </w:r>
      <w:proofErr w:type="spellStart"/>
      <w:r w:rsidRPr="008B7F94">
        <w:rPr>
          <w:i/>
          <w:lang w:val="en-US"/>
        </w:rPr>
        <w:t>g</w:t>
      </w:r>
      <w:r w:rsidRPr="008B7F94">
        <w:rPr>
          <w:i/>
          <w:vertAlign w:val="subscript"/>
          <w:lang w:val="en-US"/>
        </w:rPr>
        <w:t>L</w:t>
      </w:r>
      <w:proofErr w:type="spellEnd"/>
      <w:r w:rsidRPr="008B7F94">
        <w:rPr>
          <w:i/>
          <w:vertAlign w:val="subscript"/>
          <w:lang w:val="en-US"/>
        </w:rPr>
        <w:t xml:space="preserve"> </w:t>
      </w:r>
      <w:r w:rsidRPr="008B7F94">
        <w:rPr>
          <w:lang w:val="en-US"/>
        </w:rPr>
        <w:t>= -</w:t>
      </w:r>
      <w:r w:rsidRPr="008B7F94">
        <w:rPr>
          <w:i/>
          <w:lang w:val="en-US"/>
        </w:rPr>
        <w:t>Out/In = S</w:t>
      </w:r>
      <w:r w:rsidRPr="008B7F94">
        <w:rPr>
          <w:i/>
          <w:vertAlign w:val="subscript"/>
          <w:lang w:val="en-US"/>
        </w:rPr>
        <w:t>2</w:t>
      </w:r>
      <w:r w:rsidRPr="008B7F94">
        <w:rPr>
          <w:lang w:val="en-US"/>
        </w:rPr>
        <w:t>/</w:t>
      </w:r>
      <w:r w:rsidRPr="008B7F94">
        <w:rPr>
          <w:i/>
          <w:lang w:val="en-US"/>
        </w:rPr>
        <w:t>S</w:t>
      </w:r>
      <w:r w:rsidRPr="008B7F94">
        <w:rPr>
          <w:i/>
          <w:vertAlign w:val="subscript"/>
          <w:lang w:val="en-US"/>
        </w:rPr>
        <w:t>1</w:t>
      </w:r>
      <w:r w:rsidRPr="008B7F94">
        <w:rPr>
          <w:i/>
          <w:lang w:val="en-US"/>
        </w:rPr>
        <w:t xml:space="preserve"> – </w:t>
      </w:r>
      <w:r w:rsidRPr="008B7F94">
        <w:rPr>
          <w:lang w:val="en-US"/>
        </w:rPr>
        <w:t>1 [</w:t>
      </w:r>
      <w:r w:rsidR="005D6479" w:rsidRPr="008B7F94">
        <w:rPr>
          <w:lang w:val="en-US"/>
        </w:rPr>
        <w:t>35</w:t>
      </w:r>
      <w:r w:rsidRPr="008B7F94">
        <w:rPr>
          <w:lang w:val="en-US"/>
        </w:rPr>
        <w:t xml:space="preserve">]. </w:t>
      </w:r>
    </w:p>
    <w:p w:rsidR="00D03C79" w:rsidRPr="008B7F94" w:rsidRDefault="00D03C79" w:rsidP="00D03C79">
      <w:pPr>
        <w:spacing w:line="360" w:lineRule="auto"/>
        <w:rPr>
          <w:lang w:val="en-US"/>
        </w:rPr>
      </w:pPr>
    </w:p>
    <w:p w:rsidR="007235A0" w:rsidRDefault="00B85196" w:rsidP="00D03C79">
      <w:pPr>
        <w:spacing w:line="360" w:lineRule="auto"/>
        <w:rPr>
          <w:lang w:val="en-US"/>
        </w:rPr>
      </w:pPr>
      <w:r w:rsidRPr="008B7F94">
        <w:rPr>
          <w:noProof/>
          <w:lang w:eastAsia="ru-RU"/>
        </w:rPr>
        <w:drawing>
          <wp:inline distT="0" distB="0" distL="0" distR="0">
            <wp:extent cx="5320933" cy="4097118"/>
            <wp:effectExtent l="19050" t="0" r="0" b="0"/>
            <wp:docPr id="3" name="Рисунок 2" descr="Figure_A3rev.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A3rev.TIF"/>
                    <pic:cNvPicPr/>
                  </pic:nvPicPr>
                  <pic:blipFill>
                    <a:blip r:embed="rId55" cstate="print"/>
                    <a:stretch>
                      <a:fillRect/>
                    </a:stretch>
                  </pic:blipFill>
                  <pic:spPr>
                    <a:xfrm>
                      <a:off x="0" y="0"/>
                      <a:ext cx="5320492" cy="4096778"/>
                    </a:xfrm>
                    <a:prstGeom prst="rect">
                      <a:avLst/>
                    </a:prstGeom>
                  </pic:spPr>
                </pic:pic>
              </a:graphicData>
            </a:graphic>
          </wp:inline>
        </w:drawing>
      </w:r>
      <w:r w:rsidR="00D03C79" w:rsidRPr="008B7F94">
        <w:rPr>
          <w:lang w:val="en-US"/>
        </w:rPr>
        <w:tab/>
      </w:r>
    </w:p>
    <w:p w:rsidR="007235A0" w:rsidRPr="008B7F94" w:rsidRDefault="007235A0" w:rsidP="007235A0">
      <w:pPr>
        <w:spacing w:line="276" w:lineRule="auto"/>
        <w:rPr>
          <w:lang w:val="en-US"/>
        </w:rPr>
      </w:pPr>
      <w:r w:rsidRPr="008B7F94">
        <w:rPr>
          <w:noProof/>
          <w:lang w:val="en-US" w:eastAsia="ru-RU"/>
        </w:rPr>
        <w:t>Figure A3.</w:t>
      </w:r>
      <w:r w:rsidRPr="008B7F94">
        <w:rPr>
          <w:b/>
          <w:noProof/>
          <w:lang w:val="en-US" w:eastAsia="ru-RU"/>
        </w:rPr>
        <w:t xml:space="preserve"> </w:t>
      </w:r>
      <w:r w:rsidRPr="008B7F94">
        <w:rPr>
          <w:noProof/>
          <w:lang w:val="en-US" w:eastAsia="ru-RU"/>
        </w:rPr>
        <w:t>The effect of the blockade of Ca</w:t>
      </w:r>
      <w:r w:rsidRPr="008B7F94">
        <w:rPr>
          <w:noProof/>
          <w:vertAlign w:val="superscript"/>
          <w:lang w:val="en-US" w:eastAsia="ru-RU"/>
        </w:rPr>
        <w:t>2+</w:t>
      </w:r>
      <w:r w:rsidRPr="008B7F94">
        <w:rPr>
          <w:noProof/>
          <w:lang w:val="en-US" w:eastAsia="ru-RU"/>
        </w:rPr>
        <w:t>-feedback on a cone flash response. Shaded area shows the response in normal Ringer; heavy line  is the response to the identical flash in Ca</w:t>
      </w:r>
      <w:r w:rsidRPr="008B7F94">
        <w:rPr>
          <w:noProof/>
          <w:vertAlign w:val="superscript"/>
          <w:lang w:val="en-US" w:eastAsia="ru-RU"/>
        </w:rPr>
        <w:t>2+</w:t>
      </w:r>
      <w:r w:rsidRPr="008B7F94">
        <w:rPr>
          <w:noProof/>
          <w:lang w:val="en-US" w:eastAsia="ru-RU"/>
        </w:rPr>
        <w:t xml:space="preserve">-clamping solution. Responses were normalized to corresponding dark current and corrected for saturation as described in [37]. 519 nm, 2-ms flash of effective intensity </w:t>
      </w:r>
      <w:r w:rsidRPr="008B7F94">
        <w:rPr>
          <w:i/>
          <w:noProof/>
          <w:lang w:val="en-US" w:eastAsia="ru-RU"/>
        </w:rPr>
        <w:t>I</w:t>
      </w:r>
      <w:r w:rsidRPr="008B7F94">
        <w:rPr>
          <w:i/>
          <w:noProof/>
          <w:vertAlign w:val="subscript"/>
          <w:lang w:val="en-US" w:eastAsia="ru-RU"/>
        </w:rPr>
        <w:t>e</w:t>
      </w:r>
      <w:r w:rsidRPr="008B7F94">
        <w:rPr>
          <w:i/>
          <w:noProof/>
          <w:lang w:val="en-US" w:eastAsia="ru-RU"/>
        </w:rPr>
        <w:t xml:space="preserve"> </w:t>
      </w:r>
      <w:r w:rsidRPr="008B7F94">
        <w:rPr>
          <w:noProof/>
          <w:lang w:val="en-US" w:eastAsia="ru-RU"/>
        </w:rPr>
        <w:t>= 6.3 R*</w:t>
      </w:r>
      <w:r w:rsidRPr="008B7F94">
        <w:rPr>
          <w:noProof/>
          <w:vertAlign w:val="superscript"/>
          <w:lang w:val="en-US" w:eastAsia="ru-RU"/>
        </w:rPr>
        <w:t>.</w:t>
      </w:r>
      <w:r w:rsidRPr="008B7F94">
        <w:rPr>
          <w:rFonts w:ascii="Symbol" w:hAnsi="Symbol"/>
          <w:noProof/>
          <w:lang w:val="en-US" w:eastAsia="ru-RU"/>
        </w:rPr>
        <w:t></w:t>
      </w:r>
      <w:r w:rsidRPr="008B7F94">
        <w:rPr>
          <w:noProof/>
          <w:lang w:val="en-US" w:eastAsia="ru-RU"/>
        </w:rPr>
        <w:t>m</w:t>
      </w:r>
      <w:r w:rsidRPr="008B7F94">
        <w:rPr>
          <w:noProof/>
          <w:vertAlign w:val="superscript"/>
          <w:lang w:val="en-US" w:eastAsia="ru-RU"/>
        </w:rPr>
        <w:t>-3</w:t>
      </w:r>
      <w:r w:rsidRPr="008B7F94">
        <w:rPr>
          <w:noProof/>
          <w:lang w:val="en-US" w:eastAsia="ru-RU"/>
        </w:rPr>
        <w:t>. The response in normal Ringer is average of 20 sweeps, unfiltered. Ca</w:t>
      </w:r>
      <w:r w:rsidRPr="008B7F94">
        <w:rPr>
          <w:noProof/>
          <w:vertAlign w:val="superscript"/>
          <w:lang w:val="en-US" w:eastAsia="ru-RU"/>
        </w:rPr>
        <w:t>2+</w:t>
      </w:r>
      <w:r w:rsidRPr="008B7F94">
        <w:rPr>
          <w:noProof/>
          <w:lang w:val="en-US" w:eastAsia="ru-RU"/>
        </w:rPr>
        <w:t>-clamped response is a single sweep, Gauss-filtered with 20 ms-window. Ratio of areas under S2 and S1 curves, minus one, yields the loop gain of the Ca</w:t>
      </w:r>
      <w:r w:rsidRPr="008B7F94">
        <w:rPr>
          <w:noProof/>
          <w:vertAlign w:val="superscript"/>
          <w:lang w:val="en-US" w:eastAsia="ru-RU"/>
        </w:rPr>
        <w:t>2+</w:t>
      </w:r>
      <w:r w:rsidRPr="008B7F94">
        <w:rPr>
          <w:noProof/>
          <w:lang w:val="en-US" w:eastAsia="ru-RU"/>
        </w:rPr>
        <w:t xml:space="preserve"> feedback, which is 10 in this cell.</w:t>
      </w:r>
    </w:p>
    <w:p w:rsidR="007235A0" w:rsidRDefault="007235A0" w:rsidP="00D03C79">
      <w:pPr>
        <w:spacing w:line="360" w:lineRule="auto"/>
        <w:rPr>
          <w:lang w:val="en-US"/>
        </w:rPr>
      </w:pPr>
    </w:p>
    <w:p w:rsidR="00D03C79" w:rsidRPr="008B7F94" w:rsidRDefault="00D03C79" w:rsidP="00D03C79">
      <w:pPr>
        <w:spacing w:line="360" w:lineRule="auto"/>
        <w:rPr>
          <w:lang w:val="en-US"/>
        </w:rPr>
      </w:pPr>
      <w:r w:rsidRPr="008B7F94">
        <w:rPr>
          <w:lang w:val="en-US"/>
        </w:rPr>
        <w:t xml:space="preserve">At certain simplifying assumptions, the feedback gain is </w:t>
      </w:r>
      <w:proofErr w:type="spellStart"/>
      <w:r w:rsidRPr="008B7F94">
        <w:rPr>
          <w:i/>
          <w:sz w:val="28"/>
          <w:lang w:val="en-US"/>
        </w:rPr>
        <w:t>n</w:t>
      </w:r>
      <w:r w:rsidRPr="008B7F94">
        <w:rPr>
          <w:i/>
          <w:sz w:val="28"/>
          <w:vertAlign w:val="subscript"/>
          <w:lang w:val="en-US"/>
        </w:rPr>
        <w:t>cyc</w:t>
      </w:r>
      <w:r w:rsidRPr="008B7F94">
        <w:rPr>
          <w:i/>
          <w:sz w:val="28"/>
          <w:vertAlign w:val="superscript"/>
          <w:lang w:val="en-US"/>
        </w:rPr>
        <w:t>.</w:t>
      </w:r>
      <w:r w:rsidRPr="008B7F94">
        <w:rPr>
          <w:i/>
          <w:sz w:val="28"/>
          <w:lang w:val="en-US"/>
        </w:rPr>
        <w:t>n</w:t>
      </w:r>
      <w:r w:rsidRPr="008B7F94">
        <w:rPr>
          <w:i/>
          <w:sz w:val="28"/>
          <w:vertAlign w:val="subscript"/>
          <w:lang w:val="en-US"/>
        </w:rPr>
        <w:t>cG</w:t>
      </w:r>
      <w:proofErr w:type="spellEnd"/>
      <w:r w:rsidRPr="008B7F94">
        <w:rPr>
          <w:lang w:val="en-US"/>
        </w:rPr>
        <w:t>, the product of Hills’ coefficients of the GC control by Ca</w:t>
      </w:r>
      <w:r w:rsidRPr="008B7F94">
        <w:rPr>
          <w:vertAlign w:val="superscript"/>
          <w:lang w:val="en-US"/>
        </w:rPr>
        <w:t>2+</w:t>
      </w:r>
      <w:r w:rsidRPr="008B7F94">
        <w:rPr>
          <w:lang w:val="en-US"/>
        </w:rPr>
        <w:t xml:space="preserve"> and of the CNG channels by cGMP [</w:t>
      </w:r>
      <w:r w:rsidR="00F4386A" w:rsidRPr="008B7F94">
        <w:rPr>
          <w:lang w:val="en-US"/>
        </w:rPr>
        <w:t>35</w:t>
      </w:r>
      <w:r w:rsidRPr="008B7F94">
        <w:rPr>
          <w:lang w:val="en-US"/>
        </w:rPr>
        <w:t>]. Comparing the responses in wild type and GCAP KO mouse rods Burns et al. [</w:t>
      </w:r>
      <w:r w:rsidR="00F4386A" w:rsidRPr="008B7F94">
        <w:rPr>
          <w:lang w:val="en-US"/>
        </w:rPr>
        <w:t>35</w:t>
      </w:r>
      <w:r w:rsidRPr="008B7F94">
        <w:rPr>
          <w:lang w:val="en-US"/>
        </w:rPr>
        <w:t xml:space="preserve">] obtained </w:t>
      </w:r>
      <w:proofErr w:type="spellStart"/>
      <w:r w:rsidRPr="008B7F94">
        <w:rPr>
          <w:i/>
          <w:lang w:val="en-US"/>
        </w:rPr>
        <w:t>g</w:t>
      </w:r>
      <w:r w:rsidRPr="008B7F94">
        <w:rPr>
          <w:i/>
          <w:vertAlign w:val="subscript"/>
          <w:lang w:val="en-US"/>
        </w:rPr>
        <w:t>L</w:t>
      </w:r>
      <w:proofErr w:type="spellEnd"/>
      <w:r w:rsidRPr="008B7F94">
        <w:rPr>
          <w:i/>
          <w:vertAlign w:val="subscript"/>
          <w:lang w:val="en-US"/>
        </w:rPr>
        <w:t xml:space="preserve"> </w:t>
      </w:r>
      <w:r w:rsidRPr="008B7F94">
        <w:rPr>
          <w:lang w:val="en-US"/>
        </w:rPr>
        <w:t>≈ 12. In Ca</w:t>
      </w:r>
      <w:r w:rsidRPr="008B7F94">
        <w:rPr>
          <w:vertAlign w:val="superscript"/>
          <w:lang w:val="en-US"/>
        </w:rPr>
        <w:t>2+</w:t>
      </w:r>
      <w:r w:rsidRPr="008B7F94">
        <w:rPr>
          <w:lang w:val="en-US"/>
        </w:rPr>
        <w:t xml:space="preserve">-clamp experiments on frog rods </w:t>
      </w:r>
      <w:proofErr w:type="spellStart"/>
      <w:r w:rsidRPr="008B7F94">
        <w:rPr>
          <w:i/>
          <w:lang w:val="en-US"/>
        </w:rPr>
        <w:t>g</w:t>
      </w:r>
      <w:r w:rsidRPr="008B7F94">
        <w:rPr>
          <w:i/>
          <w:vertAlign w:val="subscript"/>
          <w:lang w:val="en-US"/>
        </w:rPr>
        <w:t>L</w:t>
      </w:r>
      <w:proofErr w:type="spellEnd"/>
      <w:r w:rsidRPr="008B7F94">
        <w:rPr>
          <w:i/>
          <w:vertAlign w:val="subscript"/>
          <w:lang w:val="en-US"/>
        </w:rPr>
        <w:t xml:space="preserve"> </w:t>
      </w:r>
      <w:r w:rsidRPr="008B7F94">
        <w:rPr>
          <w:lang w:val="en-US"/>
        </w:rPr>
        <w:t>= 12.5 was measured [</w:t>
      </w:r>
      <w:r w:rsidR="005D6479" w:rsidRPr="008B7F94">
        <w:rPr>
          <w:lang w:val="en-US"/>
        </w:rPr>
        <w:t>37</w:t>
      </w:r>
      <w:r w:rsidRPr="008B7F94">
        <w:rPr>
          <w:lang w:val="en-US"/>
        </w:rPr>
        <w:t xml:space="preserve">].  In the present work on </w:t>
      </w:r>
      <w:r w:rsidRPr="008B7F94">
        <w:rPr>
          <w:i/>
          <w:lang w:val="en-US"/>
        </w:rPr>
        <w:t>Carassius</w:t>
      </w:r>
      <w:r w:rsidRPr="008B7F94">
        <w:rPr>
          <w:lang w:val="en-US"/>
        </w:rPr>
        <w:t xml:space="preserve"> cones we obtained average </w:t>
      </w:r>
      <w:proofErr w:type="spellStart"/>
      <w:r w:rsidRPr="008B7F94">
        <w:rPr>
          <w:i/>
          <w:lang w:val="en-US"/>
        </w:rPr>
        <w:t>g</w:t>
      </w:r>
      <w:r w:rsidRPr="008B7F94">
        <w:rPr>
          <w:i/>
          <w:vertAlign w:val="subscript"/>
          <w:lang w:val="en-US"/>
        </w:rPr>
        <w:t>L</w:t>
      </w:r>
      <w:proofErr w:type="spellEnd"/>
      <w:r w:rsidRPr="008B7F94">
        <w:rPr>
          <w:lang w:val="en-US"/>
        </w:rPr>
        <w:t xml:space="preserve"> = 9.6 ± 1.2 (average of 9 cells ± SEM); the maximum value was 11. However, these </w:t>
      </w:r>
      <w:proofErr w:type="spellStart"/>
      <w:r w:rsidRPr="008B7F94">
        <w:rPr>
          <w:i/>
          <w:lang w:val="en-US"/>
        </w:rPr>
        <w:t>g</w:t>
      </w:r>
      <w:r w:rsidRPr="008B7F94">
        <w:rPr>
          <w:i/>
          <w:vertAlign w:val="subscript"/>
          <w:lang w:val="en-US"/>
        </w:rPr>
        <w:t>L</w:t>
      </w:r>
      <w:proofErr w:type="spellEnd"/>
      <w:r w:rsidRPr="008B7F94">
        <w:rPr>
          <w:lang w:val="en-US"/>
        </w:rPr>
        <w:t xml:space="preserve"> values poorly fit direct biochemical and physiological measurements that consistently yielded </w:t>
      </w:r>
      <w:proofErr w:type="spellStart"/>
      <w:r w:rsidRPr="008B7F94">
        <w:rPr>
          <w:i/>
          <w:sz w:val="28"/>
          <w:lang w:val="en-US"/>
        </w:rPr>
        <w:t>n</w:t>
      </w:r>
      <w:r w:rsidRPr="008B7F94">
        <w:rPr>
          <w:i/>
          <w:sz w:val="28"/>
          <w:vertAlign w:val="subscript"/>
          <w:lang w:val="en-US"/>
        </w:rPr>
        <w:t>cyc</w:t>
      </w:r>
      <w:proofErr w:type="spellEnd"/>
      <w:r w:rsidRPr="008B7F94">
        <w:rPr>
          <w:i/>
          <w:sz w:val="28"/>
          <w:vertAlign w:val="superscript"/>
          <w:lang w:val="en-US"/>
        </w:rPr>
        <w:t xml:space="preserve"> </w:t>
      </w:r>
      <w:r w:rsidRPr="008B7F94">
        <w:rPr>
          <w:i/>
          <w:sz w:val="28"/>
          <w:lang w:val="en-US"/>
        </w:rPr>
        <w:t xml:space="preserve">≈ </w:t>
      </w:r>
      <w:proofErr w:type="spellStart"/>
      <w:r w:rsidRPr="008B7F94">
        <w:rPr>
          <w:i/>
          <w:sz w:val="28"/>
          <w:lang w:val="en-US"/>
        </w:rPr>
        <w:t>n</w:t>
      </w:r>
      <w:r w:rsidRPr="008B7F94">
        <w:rPr>
          <w:i/>
          <w:sz w:val="28"/>
          <w:vertAlign w:val="subscript"/>
          <w:lang w:val="en-US"/>
        </w:rPr>
        <w:t>cG</w:t>
      </w:r>
      <w:proofErr w:type="spellEnd"/>
      <w:r w:rsidRPr="008B7F94">
        <w:rPr>
          <w:lang w:val="en-US"/>
        </w:rPr>
        <w:t xml:space="preserve"> ≈ 2.2 to 2.5, that is </w:t>
      </w:r>
      <w:proofErr w:type="spellStart"/>
      <w:r w:rsidRPr="008B7F94">
        <w:rPr>
          <w:i/>
          <w:lang w:val="en-US"/>
        </w:rPr>
        <w:t>g</w:t>
      </w:r>
      <w:r w:rsidRPr="008B7F94">
        <w:rPr>
          <w:i/>
          <w:vertAlign w:val="subscript"/>
          <w:lang w:val="en-US"/>
        </w:rPr>
        <w:t>L</w:t>
      </w:r>
      <w:proofErr w:type="spellEnd"/>
      <w:r w:rsidRPr="008B7F94">
        <w:rPr>
          <w:i/>
          <w:vertAlign w:val="subscript"/>
          <w:lang w:val="en-US"/>
        </w:rPr>
        <w:t xml:space="preserve">  </w:t>
      </w:r>
      <w:r w:rsidRPr="008B7F94">
        <w:rPr>
          <w:lang w:val="en-US"/>
        </w:rPr>
        <w:t>≤  6 [</w:t>
      </w:r>
      <w:r w:rsidR="005D6479" w:rsidRPr="008B7F94">
        <w:rPr>
          <w:lang w:val="en-US"/>
        </w:rPr>
        <w:t>1, 25-28, 38</w:t>
      </w:r>
      <w:r w:rsidRPr="008B7F94">
        <w:rPr>
          <w:lang w:val="en-US" w:eastAsia="ru-RU"/>
        </w:rPr>
        <w:t>]</w:t>
      </w:r>
      <w:r w:rsidRPr="008B7F94">
        <w:rPr>
          <w:lang w:val="en-US"/>
        </w:rPr>
        <w:t xml:space="preserve">. The discrepancy can be explained by an extra amplification in the feedback loop, originating from neglected non-linearity at certain stages of the feedback. </w:t>
      </w:r>
    </w:p>
    <w:p w:rsidR="00D03C79" w:rsidRPr="008B7F94" w:rsidRDefault="00D03C79" w:rsidP="00D03C79">
      <w:pPr>
        <w:spacing w:line="360" w:lineRule="auto"/>
        <w:rPr>
          <w:lang w:val="en-US"/>
        </w:rPr>
      </w:pPr>
    </w:p>
    <w:p w:rsidR="00D03C79" w:rsidRDefault="00A367C5" w:rsidP="00D03C79">
      <w:pPr>
        <w:spacing w:line="360" w:lineRule="auto"/>
        <w:rPr>
          <w:lang w:val="en-US"/>
        </w:rPr>
      </w:pPr>
      <w:r w:rsidRPr="008B7F94">
        <w:rPr>
          <w:noProof/>
          <w:lang w:eastAsia="ru-RU"/>
        </w:rPr>
        <w:drawing>
          <wp:inline distT="0" distB="0" distL="0" distR="0">
            <wp:extent cx="5940425" cy="3524885"/>
            <wp:effectExtent l="0" t="0" r="0" b="0"/>
            <wp:docPr id="4" name="Рисунок 3" descr="Figure_A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A4.tif"/>
                    <pic:cNvPicPr/>
                  </pic:nvPicPr>
                  <pic:blipFill>
                    <a:blip r:embed="rId56" cstate="print"/>
                    <a:stretch>
                      <a:fillRect/>
                    </a:stretch>
                  </pic:blipFill>
                  <pic:spPr>
                    <a:xfrm>
                      <a:off x="0" y="0"/>
                      <a:ext cx="5940425" cy="3524885"/>
                    </a:xfrm>
                    <a:prstGeom prst="rect">
                      <a:avLst/>
                    </a:prstGeom>
                  </pic:spPr>
                </pic:pic>
              </a:graphicData>
            </a:graphic>
          </wp:inline>
        </w:drawing>
      </w:r>
    </w:p>
    <w:p w:rsidR="007235A0" w:rsidRPr="008B7F94" w:rsidRDefault="007235A0" w:rsidP="007235A0">
      <w:pPr>
        <w:autoSpaceDE w:val="0"/>
        <w:autoSpaceDN w:val="0"/>
        <w:adjustRightInd w:val="0"/>
        <w:spacing w:line="276" w:lineRule="auto"/>
        <w:rPr>
          <w:lang w:val="en-US"/>
        </w:rPr>
      </w:pPr>
      <w:r w:rsidRPr="008B7F94">
        <w:rPr>
          <w:lang w:val="en-US"/>
        </w:rPr>
        <w:t xml:space="preserve">Figure A4. Sources of amplification in </w:t>
      </w:r>
      <w:r w:rsidRPr="008B7F94">
        <w:rPr>
          <w:noProof/>
          <w:lang w:val="en-US" w:eastAsia="ru-RU"/>
        </w:rPr>
        <w:t>Ca</w:t>
      </w:r>
      <w:r w:rsidRPr="008B7F94">
        <w:rPr>
          <w:noProof/>
          <w:vertAlign w:val="superscript"/>
          <w:lang w:val="en-US" w:eastAsia="ru-RU"/>
        </w:rPr>
        <w:t>2+</w:t>
      </w:r>
      <w:r w:rsidRPr="008B7F94">
        <w:rPr>
          <w:noProof/>
          <w:lang w:val="en-US" w:eastAsia="ru-RU"/>
        </w:rPr>
        <w:t xml:space="preserve"> feedback loop. </w:t>
      </w:r>
      <w:r w:rsidRPr="008B7F94">
        <w:rPr>
          <w:i/>
          <w:noProof/>
          <w:lang w:val="en-US" w:eastAsia="ru-RU"/>
        </w:rPr>
        <w:t>In</w:t>
      </w:r>
      <w:r w:rsidRPr="008B7F94">
        <w:rPr>
          <w:noProof/>
          <w:lang w:val="en-US" w:eastAsia="ru-RU"/>
        </w:rPr>
        <w:t xml:space="preserve"> is the input proportional to Ca</w:t>
      </w:r>
      <w:r w:rsidRPr="008B7F94">
        <w:rPr>
          <w:noProof/>
          <w:vertAlign w:val="superscript"/>
          <w:lang w:val="en-US" w:eastAsia="ru-RU"/>
        </w:rPr>
        <w:t>2+</w:t>
      </w:r>
      <w:r w:rsidRPr="008B7F94">
        <w:rPr>
          <w:noProof/>
          <w:lang w:val="en-US" w:eastAsia="ru-RU"/>
        </w:rPr>
        <w:t xml:space="preserve"> influx through the CNG channels (</w:t>
      </w:r>
      <w:r w:rsidRPr="008B7F94">
        <w:rPr>
          <w:i/>
          <w:noProof/>
          <w:lang w:val="en-US" w:eastAsia="ru-RU"/>
        </w:rPr>
        <w:t>j</w:t>
      </w:r>
      <w:r w:rsidRPr="008B7F94">
        <w:rPr>
          <w:i/>
          <w:noProof/>
          <w:vertAlign w:val="subscript"/>
          <w:lang w:val="en-US" w:eastAsia="ru-RU"/>
        </w:rPr>
        <w:t>cG</w:t>
      </w:r>
      <w:r w:rsidRPr="008B7F94">
        <w:rPr>
          <w:noProof/>
          <w:lang w:val="en-US" w:eastAsia="ru-RU"/>
        </w:rPr>
        <w:t xml:space="preserve">). </w:t>
      </w:r>
      <w:r w:rsidRPr="008B7F94">
        <w:rPr>
          <w:i/>
          <w:noProof/>
          <w:lang w:val="en-US" w:eastAsia="ru-RU"/>
        </w:rPr>
        <w:t>Out</w:t>
      </w:r>
      <w:r w:rsidRPr="008B7F94">
        <w:rPr>
          <w:noProof/>
          <w:lang w:val="en-US" w:eastAsia="ru-RU"/>
        </w:rPr>
        <w:t xml:space="preserve"> is the feedback output equal to </w:t>
      </w:r>
      <w:r w:rsidRPr="008B7F94">
        <w:rPr>
          <w:lang w:val="en-US"/>
        </w:rPr>
        <w:t>the opposing change of the CNG-channel current that would be produced by the change of the cGMP concentration via the Ca</w:t>
      </w:r>
      <w:r w:rsidRPr="008B7F94">
        <w:rPr>
          <w:vertAlign w:val="superscript"/>
          <w:lang w:val="en-US"/>
        </w:rPr>
        <w:t>2+</w:t>
      </w:r>
      <w:r w:rsidRPr="008B7F94">
        <w:rPr>
          <w:lang w:val="en-US"/>
        </w:rPr>
        <w:t xml:space="preserve"> control of the GC. Steps of amplification: </w:t>
      </w:r>
      <w:proofErr w:type="spellStart"/>
      <w:r w:rsidRPr="008B7F94">
        <w:rPr>
          <w:i/>
          <w:lang w:val="en-US"/>
        </w:rPr>
        <w:t>gEx</w:t>
      </w:r>
      <w:proofErr w:type="spellEnd"/>
      <w:r w:rsidRPr="008B7F94">
        <w:rPr>
          <w:lang w:val="en-US"/>
        </w:rPr>
        <w:t>, amplification due to non-linear concentration dependence of the exchanger (equations (A22 – A24))</w:t>
      </w:r>
      <w:proofErr w:type="gramStart"/>
      <w:r w:rsidRPr="008B7F94">
        <w:rPr>
          <w:lang w:val="en-US"/>
        </w:rPr>
        <w:t xml:space="preserve">;  </w:t>
      </w:r>
      <w:proofErr w:type="spellStart"/>
      <w:r w:rsidRPr="008B7F94">
        <w:rPr>
          <w:i/>
          <w:lang w:val="en-US"/>
        </w:rPr>
        <w:t>gCyc</w:t>
      </w:r>
      <w:proofErr w:type="spellEnd"/>
      <w:proofErr w:type="gramEnd"/>
      <w:r w:rsidRPr="008B7F94">
        <w:rPr>
          <w:lang w:val="en-US"/>
        </w:rPr>
        <w:t>, cooperative control of cGMP synthesis by GC via Ca</w:t>
      </w:r>
      <w:r w:rsidRPr="008B7F94">
        <w:rPr>
          <w:vertAlign w:val="superscript"/>
          <w:lang w:val="en-US"/>
        </w:rPr>
        <w:t>2+</w:t>
      </w:r>
      <w:r w:rsidRPr="008B7F94">
        <w:rPr>
          <w:lang w:val="en-US"/>
        </w:rPr>
        <w:t xml:space="preserve">; </w:t>
      </w:r>
      <w:proofErr w:type="spellStart"/>
      <w:r w:rsidRPr="008B7F94">
        <w:rPr>
          <w:i/>
          <w:lang w:val="en-US"/>
        </w:rPr>
        <w:t>gPDE</w:t>
      </w:r>
      <w:proofErr w:type="spellEnd"/>
      <w:r w:rsidRPr="008B7F94">
        <w:rPr>
          <w:lang w:val="en-US"/>
        </w:rPr>
        <w:t xml:space="preserve">, amplification due to non-linear concentration dependence of the cGMP hydrolysis by PDE (equations (A22 – A24)); </w:t>
      </w:r>
      <w:proofErr w:type="spellStart"/>
      <w:r w:rsidRPr="008B7F94">
        <w:rPr>
          <w:i/>
          <w:lang w:val="en-US"/>
        </w:rPr>
        <w:t>gCNG</w:t>
      </w:r>
      <w:proofErr w:type="spellEnd"/>
      <w:r w:rsidRPr="008B7F94">
        <w:rPr>
          <w:lang w:val="en-US"/>
        </w:rPr>
        <w:t xml:space="preserve">, cooperative control of </w:t>
      </w:r>
      <w:proofErr w:type="spellStart"/>
      <w:r w:rsidRPr="008B7F94">
        <w:rPr>
          <w:i/>
          <w:lang w:val="en-US"/>
        </w:rPr>
        <w:t>j</w:t>
      </w:r>
      <w:r w:rsidRPr="008B7F94">
        <w:rPr>
          <w:i/>
          <w:vertAlign w:val="subscript"/>
          <w:lang w:val="en-US"/>
        </w:rPr>
        <w:t>cG</w:t>
      </w:r>
      <w:proofErr w:type="spellEnd"/>
      <w:r w:rsidRPr="008B7F94">
        <w:rPr>
          <w:lang w:val="en-US"/>
        </w:rPr>
        <w:t xml:space="preserve"> by cGMP; </w:t>
      </w:r>
      <w:proofErr w:type="spellStart"/>
      <w:r w:rsidRPr="008B7F94">
        <w:rPr>
          <w:i/>
          <w:lang w:val="en-US"/>
        </w:rPr>
        <w:t>gCNG</w:t>
      </w:r>
      <w:r w:rsidRPr="008B7F94">
        <w:rPr>
          <w:i/>
          <w:vertAlign w:val="subscript"/>
          <w:lang w:val="en-US"/>
        </w:rPr>
        <w:t>Ca</w:t>
      </w:r>
      <w:proofErr w:type="spellEnd"/>
      <w:r w:rsidRPr="008B7F94">
        <w:rPr>
          <w:lang w:val="en-US"/>
        </w:rPr>
        <w:t>, Ca</w:t>
      </w:r>
      <w:r w:rsidRPr="008B7F94">
        <w:rPr>
          <w:vertAlign w:val="superscript"/>
          <w:lang w:val="en-US"/>
        </w:rPr>
        <w:t>2+</w:t>
      </w:r>
      <w:r w:rsidRPr="008B7F94">
        <w:rPr>
          <w:lang w:val="en-US"/>
        </w:rPr>
        <w:t xml:space="preserve"> regulation of the affinity of the CNG channels to cGMP. </w:t>
      </w:r>
      <w:proofErr w:type="gramStart"/>
      <w:r w:rsidRPr="008B7F94">
        <w:rPr>
          <w:lang w:val="en-US"/>
        </w:rPr>
        <w:t>Further explanations in the text.</w:t>
      </w:r>
      <w:proofErr w:type="gramEnd"/>
    </w:p>
    <w:p w:rsidR="007235A0" w:rsidRPr="008B7F94" w:rsidRDefault="007235A0" w:rsidP="00D03C79">
      <w:pPr>
        <w:spacing w:line="360" w:lineRule="auto"/>
        <w:rPr>
          <w:lang w:val="en-US"/>
        </w:rPr>
      </w:pPr>
    </w:p>
    <w:p w:rsidR="00D03C79" w:rsidRPr="008B7F94" w:rsidRDefault="00D03C79" w:rsidP="00D03C79">
      <w:pPr>
        <w:spacing w:line="360" w:lineRule="auto"/>
        <w:rPr>
          <w:lang w:val="en-US"/>
        </w:rPr>
      </w:pPr>
      <w:r w:rsidRPr="008B7F94">
        <w:rPr>
          <w:lang w:val="en-US"/>
        </w:rPr>
        <w:tab/>
        <w:t>The complete scheme of the main feedback loop consists of a chain of four reactions that translate the fractional change of the CNG current/Ca</w:t>
      </w:r>
      <w:r w:rsidRPr="008B7F94">
        <w:rPr>
          <w:vertAlign w:val="superscript"/>
          <w:lang w:val="en-US"/>
        </w:rPr>
        <w:t>2+</w:t>
      </w:r>
      <w:r w:rsidRPr="008B7F94">
        <w:rPr>
          <w:lang w:val="en-US"/>
        </w:rPr>
        <w:t xml:space="preserve"> influx into the (inverted) fractional </w:t>
      </w:r>
      <w:r w:rsidRPr="008B7F94">
        <w:rPr>
          <w:lang w:val="en-US"/>
        </w:rPr>
        <w:lastRenderedPageBreak/>
        <w:t>change of cGMP concentration, which further exerts an action back on the current (Figure A4). Besides, there is an extra feedback loop that operates via the Ca</w:t>
      </w:r>
      <w:r w:rsidRPr="008B7F94">
        <w:rPr>
          <w:vertAlign w:val="superscript"/>
          <w:lang w:val="en-US"/>
        </w:rPr>
        <w:t>2+</w:t>
      </w:r>
      <w:r w:rsidRPr="008B7F94">
        <w:rPr>
          <w:lang w:val="en-US"/>
        </w:rPr>
        <w:t xml:space="preserve"> regulation of the affinity of the CNG channels to cGMP [</w:t>
      </w:r>
      <w:r w:rsidR="006D14B6" w:rsidRPr="008B7F94">
        <w:rPr>
          <w:lang w:val="en-US"/>
        </w:rPr>
        <w:t>24</w:t>
      </w:r>
      <w:r w:rsidRPr="008B7F94">
        <w:rPr>
          <w:lang w:val="en-US"/>
        </w:rPr>
        <w:t xml:space="preserve">]. Each step can be characterized by its gain </w:t>
      </w:r>
      <w:r w:rsidRPr="008B7F94">
        <w:rPr>
          <w:i/>
          <w:lang w:val="en-US"/>
        </w:rPr>
        <w:t>g</w:t>
      </w:r>
      <w:r w:rsidRPr="008B7F94">
        <w:rPr>
          <w:lang w:val="en-US"/>
        </w:rPr>
        <w:t xml:space="preserve"> = </w:t>
      </w:r>
      <w:r w:rsidRPr="008B7F94">
        <w:rPr>
          <w:i/>
          <w:lang w:val="en-US"/>
        </w:rPr>
        <w:t>(</w:t>
      </w:r>
      <w:proofErr w:type="spellStart"/>
      <w:r w:rsidRPr="008B7F94">
        <w:rPr>
          <w:i/>
          <w:lang w:val="en-US"/>
        </w:rPr>
        <w:t>dOut</w:t>
      </w:r>
      <w:proofErr w:type="spellEnd"/>
      <w:r w:rsidRPr="008B7F94">
        <w:rPr>
          <w:i/>
          <w:lang w:val="en-US"/>
        </w:rPr>
        <w:t>/Out)</w:t>
      </w:r>
      <w:proofErr w:type="gramStart"/>
      <w:r w:rsidRPr="008B7F94">
        <w:rPr>
          <w:i/>
          <w:lang w:val="en-US"/>
        </w:rPr>
        <w:t>/(</w:t>
      </w:r>
      <w:proofErr w:type="spellStart"/>
      <w:proofErr w:type="gramEnd"/>
      <w:r w:rsidRPr="008B7F94">
        <w:rPr>
          <w:i/>
          <w:lang w:val="en-US"/>
        </w:rPr>
        <w:t>dIn</w:t>
      </w:r>
      <w:proofErr w:type="spellEnd"/>
      <w:r w:rsidRPr="008B7F94">
        <w:rPr>
          <w:i/>
          <w:lang w:val="en-US"/>
        </w:rPr>
        <w:t>/In)</w:t>
      </w:r>
      <w:r w:rsidRPr="008B7F94">
        <w:rPr>
          <w:lang w:val="en-US"/>
        </w:rPr>
        <w:t>. Overall gain is</w:t>
      </w:r>
    </w:p>
    <w:p w:rsidR="00D03C79" w:rsidRPr="008B7F94" w:rsidRDefault="00D03C79" w:rsidP="00D03C79">
      <w:pPr>
        <w:spacing w:line="360" w:lineRule="auto"/>
        <w:rPr>
          <w:lang w:val="en-US"/>
        </w:rPr>
      </w:pPr>
      <w:r w:rsidRPr="008B7F94">
        <w:rPr>
          <w:lang w:val="en-US"/>
        </w:rPr>
        <w:tab/>
      </w:r>
      <w:r w:rsidRPr="008B7F94">
        <w:rPr>
          <w:position w:val="-16"/>
          <w:lang w:val="en-US"/>
        </w:rPr>
        <w:object w:dxaOrig="4880" w:dyaOrig="420">
          <v:shape id="_x0000_i1048" type="#_x0000_t75" style="width:255.4pt;height:21.1pt" o:ole="">
            <v:imagedata r:id="rId57" o:title=""/>
          </v:shape>
          <o:OLEObject Type="Embed" ProgID="Equation.3" ShapeID="_x0000_i1048" DrawAspect="Content" ObjectID="_1487181812" r:id="rId58"/>
        </w:object>
      </w:r>
      <w:r w:rsidRPr="008B7F94">
        <w:rPr>
          <w:lang w:val="en-US"/>
        </w:rPr>
        <w:tab/>
      </w:r>
      <w:r w:rsidRPr="008B7F94">
        <w:rPr>
          <w:lang w:val="en-US"/>
        </w:rPr>
        <w:tab/>
      </w:r>
      <w:r w:rsidRPr="008B7F94">
        <w:rPr>
          <w:lang w:val="en-US"/>
        </w:rPr>
        <w:tab/>
        <w:t>(A21).</w:t>
      </w:r>
    </w:p>
    <w:p w:rsidR="00D03C79" w:rsidRPr="008B7F94" w:rsidRDefault="00D03C79" w:rsidP="00D03C79">
      <w:pPr>
        <w:spacing w:line="360" w:lineRule="auto"/>
        <w:rPr>
          <w:lang w:val="en-US"/>
        </w:rPr>
      </w:pPr>
      <w:r w:rsidRPr="008B7F94">
        <w:rPr>
          <w:lang w:val="en-US"/>
        </w:rPr>
        <w:t xml:space="preserve">If at a certain stage a linear relationship between </w:t>
      </w:r>
      <w:r w:rsidRPr="008B7F94">
        <w:rPr>
          <w:i/>
          <w:lang w:val="en-US"/>
        </w:rPr>
        <w:t>In</w:t>
      </w:r>
      <w:r w:rsidRPr="008B7F94">
        <w:rPr>
          <w:lang w:val="en-US"/>
        </w:rPr>
        <w:t xml:space="preserve"> and </w:t>
      </w:r>
      <w:r w:rsidRPr="008B7F94">
        <w:rPr>
          <w:i/>
          <w:lang w:val="en-US"/>
        </w:rPr>
        <w:t>Out</w:t>
      </w:r>
      <w:r w:rsidRPr="008B7F94">
        <w:rPr>
          <w:lang w:val="en-US"/>
        </w:rPr>
        <w:t xml:space="preserve"> is assumed, </w:t>
      </w:r>
      <w:r w:rsidRPr="008B7F94">
        <w:rPr>
          <w:i/>
          <w:lang w:val="en-US"/>
        </w:rPr>
        <w:t>g</w:t>
      </w:r>
      <w:r w:rsidRPr="008B7F94">
        <w:rPr>
          <w:lang w:val="en-US"/>
        </w:rPr>
        <w:t xml:space="preserve"> = 1. For </w:t>
      </w:r>
      <w:proofErr w:type="spellStart"/>
      <w:r w:rsidRPr="008B7F94">
        <w:rPr>
          <w:i/>
          <w:lang w:val="en-US"/>
        </w:rPr>
        <w:t>g</w:t>
      </w:r>
      <w:r w:rsidRPr="008B7F94">
        <w:rPr>
          <w:i/>
          <w:vertAlign w:val="subscript"/>
          <w:lang w:val="en-US"/>
        </w:rPr>
        <w:t>Ex</w:t>
      </w:r>
      <w:proofErr w:type="spellEnd"/>
      <w:r w:rsidRPr="008B7F94">
        <w:rPr>
          <w:lang w:val="en-US"/>
        </w:rPr>
        <w:t xml:space="preserve"> and </w:t>
      </w:r>
      <w:proofErr w:type="spellStart"/>
      <w:r w:rsidRPr="008B7F94">
        <w:rPr>
          <w:i/>
          <w:lang w:val="en-US"/>
        </w:rPr>
        <w:t>g</w:t>
      </w:r>
      <w:r w:rsidRPr="008B7F94">
        <w:rPr>
          <w:i/>
          <w:vertAlign w:val="subscript"/>
          <w:lang w:val="en-US"/>
        </w:rPr>
        <w:t>PDE</w:t>
      </w:r>
      <w:proofErr w:type="spellEnd"/>
      <w:r w:rsidRPr="008B7F94">
        <w:rPr>
          <w:lang w:val="en-US"/>
        </w:rPr>
        <w:t>, this means that the rate of Ca</w:t>
      </w:r>
      <w:r w:rsidRPr="008B7F94">
        <w:rPr>
          <w:vertAlign w:val="superscript"/>
          <w:lang w:val="en-US"/>
        </w:rPr>
        <w:t>2+</w:t>
      </w:r>
      <w:r w:rsidRPr="008B7F94">
        <w:rPr>
          <w:lang w:val="en-US"/>
        </w:rPr>
        <w:t xml:space="preserve"> extrusion by the exchanger and the rate of cGMP hydrolysis by PDE are strictly proportional to the substrate’s concentration. Actually, the two reactions are better described by a </w:t>
      </w:r>
      <w:proofErr w:type="spellStart"/>
      <w:r w:rsidRPr="008B7F94">
        <w:rPr>
          <w:lang w:val="en-US"/>
        </w:rPr>
        <w:t>Michaelis</w:t>
      </w:r>
      <w:proofErr w:type="spellEnd"/>
      <w:r w:rsidRPr="008B7F94">
        <w:rPr>
          <w:lang w:val="en-US"/>
        </w:rPr>
        <w:t>-like relationship:</w:t>
      </w:r>
    </w:p>
    <w:p w:rsidR="00D03C79" w:rsidRPr="008B7F94" w:rsidRDefault="00D03C79" w:rsidP="00D03C79">
      <w:pPr>
        <w:spacing w:line="360" w:lineRule="auto"/>
        <w:rPr>
          <w:lang w:val="en-US"/>
        </w:rPr>
      </w:pPr>
      <w:r w:rsidRPr="008B7F94">
        <w:rPr>
          <w:lang w:val="en-US"/>
        </w:rPr>
        <w:tab/>
      </w:r>
      <w:r w:rsidRPr="008B7F94">
        <w:rPr>
          <w:position w:val="-34"/>
          <w:lang w:val="en-US"/>
        </w:rPr>
        <w:object w:dxaOrig="1579" w:dyaOrig="780">
          <v:shape id="_x0000_i1049" type="#_x0000_t75" style="width:82.75pt;height:38.6pt" o:ole="">
            <v:imagedata r:id="rId59" o:title=""/>
          </v:shape>
          <o:OLEObject Type="Embed" ProgID="Equation.3" ShapeID="_x0000_i1049" DrawAspect="Content" ObjectID="_1487181813" r:id="rId60"/>
        </w:object>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t>(A22).</w:t>
      </w:r>
    </w:p>
    <w:p w:rsidR="00D03C79" w:rsidRPr="008B7F94" w:rsidRDefault="00D03C79" w:rsidP="00D03C79">
      <w:pPr>
        <w:spacing w:line="360" w:lineRule="auto"/>
        <w:rPr>
          <w:lang w:val="en-US"/>
        </w:rPr>
      </w:pPr>
      <w:r w:rsidRPr="008B7F94">
        <w:rPr>
          <w:lang w:val="en-US"/>
        </w:rPr>
        <w:t xml:space="preserve">Here </w:t>
      </w:r>
      <w:r w:rsidRPr="008B7F94">
        <w:rPr>
          <w:i/>
          <w:lang w:val="en-US"/>
        </w:rPr>
        <w:t>C</w:t>
      </w:r>
      <w:r w:rsidRPr="008B7F94">
        <w:rPr>
          <w:lang w:val="en-US"/>
        </w:rPr>
        <w:t xml:space="preserve"> is the concentration of the substrate, </w:t>
      </w:r>
      <w:r w:rsidRPr="008B7F94">
        <w:rPr>
          <w:i/>
          <w:lang w:val="en-US"/>
        </w:rPr>
        <w:t>V</w:t>
      </w:r>
      <w:r w:rsidRPr="008B7F94">
        <w:rPr>
          <w:lang w:val="en-US"/>
        </w:rPr>
        <w:t xml:space="preserve"> is the rate of the reaction, </w:t>
      </w:r>
      <w:proofErr w:type="spellStart"/>
      <w:r w:rsidRPr="008B7F94">
        <w:rPr>
          <w:i/>
          <w:lang w:val="en-US"/>
        </w:rPr>
        <w:t>V</w:t>
      </w:r>
      <w:r w:rsidRPr="008B7F94">
        <w:rPr>
          <w:vertAlign w:val="subscript"/>
          <w:lang w:val="en-US"/>
        </w:rPr>
        <w:t>max</w:t>
      </w:r>
      <w:proofErr w:type="spellEnd"/>
      <w:r w:rsidRPr="008B7F94">
        <w:rPr>
          <w:lang w:val="en-US"/>
        </w:rPr>
        <w:t xml:space="preserve"> is the maximum possible rate, and </w:t>
      </w:r>
      <w:r w:rsidRPr="008B7F94">
        <w:rPr>
          <w:i/>
          <w:lang w:val="en-US"/>
        </w:rPr>
        <w:t>K</w:t>
      </w:r>
      <w:r w:rsidRPr="008B7F94">
        <w:rPr>
          <w:i/>
          <w:vertAlign w:val="subscript"/>
          <w:lang w:val="en-US"/>
        </w:rPr>
        <w:t>1/2</w:t>
      </w:r>
      <w:r w:rsidRPr="008B7F94">
        <w:rPr>
          <w:lang w:val="en-US"/>
        </w:rPr>
        <w:t xml:space="preserve"> is the constant equal to </w:t>
      </w:r>
      <w:r w:rsidRPr="008B7F94">
        <w:rPr>
          <w:i/>
          <w:lang w:val="en-US"/>
        </w:rPr>
        <w:t>C</w:t>
      </w:r>
      <w:r w:rsidRPr="008B7F94">
        <w:rPr>
          <w:lang w:val="en-US"/>
        </w:rPr>
        <w:t xml:space="preserve"> at </w:t>
      </w:r>
      <w:r w:rsidRPr="008B7F94">
        <w:rPr>
          <w:i/>
          <w:lang w:val="en-US"/>
        </w:rPr>
        <w:t xml:space="preserve">V = </w:t>
      </w:r>
      <w:proofErr w:type="spellStart"/>
      <w:r w:rsidRPr="008B7F94">
        <w:rPr>
          <w:i/>
          <w:lang w:val="en-US"/>
        </w:rPr>
        <w:t>V</w:t>
      </w:r>
      <w:r w:rsidRPr="008B7F94">
        <w:rPr>
          <w:i/>
          <w:vertAlign w:val="subscript"/>
          <w:lang w:val="en-US"/>
        </w:rPr>
        <w:t>max</w:t>
      </w:r>
      <w:proofErr w:type="spellEnd"/>
      <w:r w:rsidRPr="008B7F94">
        <w:rPr>
          <w:lang w:val="en-US"/>
        </w:rPr>
        <w:t>/2.  In the feedback chain, the input is the rate of Ca</w:t>
      </w:r>
      <w:r w:rsidRPr="008B7F94">
        <w:rPr>
          <w:vertAlign w:val="superscript"/>
          <w:lang w:val="en-US"/>
        </w:rPr>
        <w:t>2+</w:t>
      </w:r>
      <w:r w:rsidRPr="008B7F94">
        <w:rPr>
          <w:lang w:val="en-US"/>
        </w:rPr>
        <w:t xml:space="preserve"> influx or cGMP synthesis, that is, </w:t>
      </w:r>
      <w:r w:rsidRPr="008B7F94">
        <w:rPr>
          <w:i/>
          <w:lang w:val="en-US"/>
        </w:rPr>
        <w:t>V</w:t>
      </w:r>
      <w:r w:rsidRPr="008B7F94">
        <w:rPr>
          <w:lang w:val="en-US"/>
        </w:rPr>
        <w:t xml:space="preserve">. The output is the concentration, </w:t>
      </w:r>
      <w:r w:rsidRPr="008B7F94">
        <w:rPr>
          <w:i/>
          <w:lang w:val="en-US"/>
        </w:rPr>
        <w:t>C</w:t>
      </w:r>
      <w:r w:rsidRPr="008B7F94">
        <w:rPr>
          <w:lang w:val="en-US"/>
        </w:rPr>
        <w:t>. From (A22),</w:t>
      </w:r>
    </w:p>
    <w:p w:rsidR="00D03C79" w:rsidRPr="008B7F94" w:rsidRDefault="00D03C79" w:rsidP="00D03C79">
      <w:pPr>
        <w:spacing w:line="360" w:lineRule="auto"/>
        <w:rPr>
          <w:lang w:val="en-US"/>
        </w:rPr>
      </w:pPr>
      <w:r w:rsidRPr="008B7F94">
        <w:rPr>
          <w:lang w:val="en-US"/>
        </w:rPr>
        <w:tab/>
      </w:r>
      <w:r w:rsidRPr="008B7F94">
        <w:rPr>
          <w:position w:val="-34"/>
          <w:lang w:val="en-US"/>
        </w:rPr>
        <w:object w:dxaOrig="1540" w:dyaOrig="780">
          <v:shape id="_x0000_i1050" type="#_x0000_t75" style="width:80.75pt;height:38.6pt" o:ole="">
            <v:imagedata r:id="rId61" o:title=""/>
          </v:shape>
          <o:OLEObject Type="Embed" ProgID="Equation.3" ShapeID="_x0000_i1050" DrawAspect="Content" ObjectID="_1487181814" r:id="rId62"/>
        </w:object>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t>(A23).</w:t>
      </w:r>
    </w:p>
    <w:p w:rsidR="00D03C79" w:rsidRPr="008B7F94" w:rsidRDefault="00D03C79" w:rsidP="00D03C79">
      <w:pPr>
        <w:spacing w:line="360" w:lineRule="auto"/>
        <w:outlineLvl w:val="0"/>
        <w:rPr>
          <w:lang w:val="en-US"/>
        </w:rPr>
      </w:pPr>
      <w:r w:rsidRPr="008B7F94">
        <w:rPr>
          <w:lang w:val="en-US"/>
        </w:rPr>
        <w:t>Then gain</w:t>
      </w:r>
    </w:p>
    <w:p w:rsidR="00D03C79" w:rsidRPr="008B7F94" w:rsidRDefault="00D03C79" w:rsidP="00D03C79">
      <w:pPr>
        <w:spacing w:line="360" w:lineRule="auto"/>
        <w:rPr>
          <w:lang w:val="en-US"/>
        </w:rPr>
      </w:pPr>
      <w:r w:rsidRPr="008B7F94">
        <w:rPr>
          <w:lang w:val="en-US"/>
        </w:rPr>
        <w:tab/>
      </w:r>
      <w:r w:rsidRPr="008B7F94">
        <w:rPr>
          <w:position w:val="-34"/>
          <w:lang w:val="en-US"/>
        </w:rPr>
        <w:object w:dxaOrig="2700" w:dyaOrig="780">
          <v:shape id="_x0000_i1051" type="#_x0000_t75" style="width:142.4pt;height:38.6pt" o:ole="">
            <v:imagedata r:id="rId63" o:title=""/>
          </v:shape>
          <o:OLEObject Type="Embed" ProgID="Equation.3" ShapeID="_x0000_i1051" DrawAspect="Content" ObjectID="_1487181815" r:id="rId64"/>
        </w:object>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t>(A24).</w:t>
      </w:r>
    </w:p>
    <w:p w:rsidR="00D03C79" w:rsidRPr="008B7F94" w:rsidRDefault="00D03C79" w:rsidP="00D03C79">
      <w:pPr>
        <w:spacing w:line="360" w:lineRule="auto"/>
        <w:rPr>
          <w:lang w:val="en-US"/>
        </w:rPr>
      </w:pPr>
      <w:r w:rsidRPr="008B7F94">
        <w:rPr>
          <w:lang w:val="en-US"/>
        </w:rPr>
        <w:tab/>
      </w:r>
      <w:proofErr w:type="gramStart"/>
      <w:r w:rsidRPr="008B7F94">
        <w:rPr>
          <w:lang w:val="en-US"/>
        </w:rPr>
        <w:t xml:space="preserve">Thus in a realistic situation </w:t>
      </w:r>
      <w:proofErr w:type="spellStart"/>
      <w:r w:rsidRPr="008B7F94">
        <w:rPr>
          <w:i/>
          <w:lang w:val="en-US"/>
        </w:rPr>
        <w:t>g</w:t>
      </w:r>
      <w:r w:rsidRPr="008B7F94">
        <w:rPr>
          <w:i/>
          <w:vertAlign w:val="subscript"/>
          <w:lang w:val="en-US"/>
        </w:rPr>
        <w:t>Ex</w:t>
      </w:r>
      <w:proofErr w:type="spellEnd"/>
      <w:r w:rsidRPr="008B7F94">
        <w:rPr>
          <w:i/>
          <w:lang w:val="en-US"/>
        </w:rPr>
        <w:t xml:space="preserve">, </w:t>
      </w:r>
      <w:proofErr w:type="spellStart"/>
      <w:r w:rsidRPr="008B7F94">
        <w:rPr>
          <w:i/>
          <w:lang w:val="en-US"/>
        </w:rPr>
        <w:t>g</w:t>
      </w:r>
      <w:r w:rsidRPr="008B7F94">
        <w:rPr>
          <w:i/>
          <w:vertAlign w:val="subscript"/>
          <w:lang w:val="en-US"/>
        </w:rPr>
        <w:t>PDE</w:t>
      </w:r>
      <w:proofErr w:type="spellEnd"/>
      <w:r w:rsidRPr="008B7F94">
        <w:rPr>
          <w:lang w:val="en-US"/>
        </w:rPr>
        <w:t xml:space="preserve"> &gt; 1.</w:t>
      </w:r>
      <w:proofErr w:type="gramEnd"/>
      <w:r w:rsidRPr="008B7F94">
        <w:rPr>
          <w:lang w:val="en-US"/>
        </w:rPr>
        <w:t xml:space="preserve"> At </w:t>
      </w:r>
      <w:r w:rsidRPr="008B7F94">
        <w:rPr>
          <w:i/>
          <w:lang w:val="en-US"/>
        </w:rPr>
        <w:t>C</w:t>
      </w:r>
      <w:r w:rsidRPr="008B7F94">
        <w:rPr>
          <w:lang w:val="en-US"/>
        </w:rPr>
        <w:t xml:space="preserve"> &gt;&gt;</w:t>
      </w:r>
      <w:r w:rsidRPr="008B7F94">
        <w:rPr>
          <w:i/>
          <w:lang w:val="en-US"/>
        </w:rPr>
        <w:t xml:space="preserve"> K</w:t>
      </w:r>
      <w:r w:rsidRPr="008B7F94">
        <w:rPr>
          <w:i/>
          <w:vertAlign w:val="subscript"/>
          <w:lang w:val="en-US"/>
        </w:rPr>
        <w:t>1/2</w:t>
      </w:r>
      <w:r w:rsidRPr="008B7F94">
        <w:rPr>
          <w:lang w:val="en-US"/>
        </w:rPr>
        <w:t xml:space="preserve"> the two gains can be arbitrarily high. If, for instance, </w:t>
      </w:r>
      <w:r w:rsidRPr="008B7F94">
        <w:rPr>
          <w:i/>
          <w:lang w:val="en-US"/>
        </w:rPr>
        <w:t>C</w:t>
      </w:r>
      <w:r w:rsidRPr="008B7F94">
        <w:rPr>
          <w:lang w:val="en-US"/>
        </w:rPr>
        <w:t xml:space="preserve"> ≈ </w:t>
      </w:r>
      <w:r w:rsidRPr="008B7F94">
        <w:rPr>
          <w:i/>
          <w:lang w:val="en-US"/>
        </w:rPr>
        <w:t>K</w:t>
      </w:r>
      <w:r w:rsidRPr="008B7F94">
        <w:rPr>
          <w:i/>
          <w:vertAlign w:val="subscript"/>
          <w:lang w:val="en-US"/>
        </w:rPr>
        <w:t>1/2</w:t>
      </w:r>
      <w:r w:rsidRPr="008B7F94">
        <w:rPr>
          <w:lang w:val="en-US"/>
        </w:rPr>
        <w:t xml:space="preserve">, then </w:t>
      </w:r>
      <w:proofErr w:type="spellStart"/>
      <w:r w:rsidRPr="008B7F94">
        <w:rPr>
          <w:i/>
          <w:lang w:val="en-US"/>
        </w:rPr>
        <w:t>g</w:t>
      </w:r>
      <w:r w:rsidRPr="008B7F94">
        <w:rPr>
          <w:i/>
          <w:vertAlign w:val="subscript"/>
          <w:lang w:val="en-US"/>
        </w:rPr>
        <w:t>Ex</w:t>
      </w:r>
      <w:proofErr w:type="spellEnd"/>
      <w:r w:rsidRPr="008B7F94">
        <w:rPr>
          <w:lang w:val="en-US"/>
        </w:rPr>
        <w:t xml:space="preserve"> =</w:t>
      </w:r>
      <w:r w:rsidRPr="008B7F94">
        <w:rPr>
          <w:i/>
          <w:lang w:val="en-US"/>
        </w:rPr>
        <w:t xml:space="preserve"> </w:t>
      </w:r>
      <w:proofErr w:type="spellStart"/>
      <w:r w:rsidRPr="008B7F94">
        <w:rPr>
          <w:i/>
          <w:lang w:val="en-US"/>
        </w:rPr>
        <w:t>g</w:t>
      </w:r>
      <w:r w:rsidRPr="008B7F94">
        <w:rPr>
          <w:i/>
          <w:vertAlign w:val="subscript"/>
          <w:lang w:val="en-US"/>
        </w:rPr>
        <w:t>PDE</w:t>
      </w:r>
      <w:proofErr w:type="spellEnd"/>
      <w:r w:rsidRPr="008B7F94">
        <w:rPr>
          <w:lang w:val="en-US"/>
        </w:rPr>
        <w:t xml:space="preserve"> ≈ 2, and the predicted loop gain </w:t>
      </w:r>
      <w:proofErr w:type="spellStart"/>
      <w:r w:rsidRPr="008B7F94">
        <w:rPr>
          <w:i/>
          <w:lang w:val="en-US"/>
        </w:rPr>
        <w:t>g</w:t>
      </w:r>
      <w:r w:rsidRPr="008B7F94">
        <w:rPr>
          <w:i/>
          <w:vertAlign w:val="subscript"/>
          <w:lang w:val="en-US"/>
        </w:rPr>
        <w:t>L</w:t>
      </w:r>
      <w:proofErr w:type="spellEnd"/>
      <w:r w:rsidRPr="008B7F94">
        <w:rPr>
          <w:lang w:val="en-US"/>
        </w:rPr>
        <w:t xml:space="preserve"> = 4</w:t>
      </w:r>
      <w:r w:rsidRPr="008B7F94">
        <w:rPr>
          <w:vertAlign w:val="superscript"/>
          <w:lang w:val="en-US"/>
        </w:rPr>
        <w:t>.</w:t>
      </w:r>
      <w:r w:rsidRPr="008B7F94">
        <w:rPr>
          <w:i/>
          <w:lang w:val="en-US"/>
        </w:rPr>
        <w:t xml:space="preserve"> </w:t>
      </w:r>
      <w:proofErr w:type="spellStart"/>
      <w:r w:rsidRPr="008B7F94">
        <w:rPr>
          <w:i/>
          <w:sz w:val="28"/>
          <w:lang w:val="en-US"/>
        </w:rPr>
        <w:t>n</w:t>
      </w:r>
      <w:r w:rsidRPr="008B7F94">
        <w:rPr>
          <w:i/>
          <w:sz w:val="28"/>
          <w:vertAlign w:val="subscript"/>
          <w:lang w:val="en-US"/>
        </w:rPr>
        <w:t>cyc</w:t>
      </w:r>
      <w:r w:rsidRPr="008B7F94">
        <w:rPr>
          <w:i/>
          <w:sz w:val="28"/>
          <w:vertAlign w:val="superscript"/>
          <w:lang w:val="en-US"/>
        </w:rPr>
        <w:t>.</w:t>
      </w:r>
      <w:r w:rsidRPr="008B7F94">
        <w:rPr>
          <w:i/>
          <w:sz w:val="28"/>
          <w:lang w:val="en-US"/>
        </w:rPr>
        <w:t>n</w:t>
      </w:r>
      <w:r w:rsidRPr="008B7F94">
        <w:rPr>
          <w:i/>
          <w:sz w:val="28"/>
          <w:vertAlign w:val="subscript"/>
          <w:lang w:val="en-US"/>
        </w:rPr>
        <w:t>cG</w:t>
      </w:r>
      <w:proofErr w:type="spellEnd"/>
      <w:r w:rsidRPr="008B7F94">
        <w:rPr>
          <w:lang w:val="en-US"/>
        </w:rPr>
        <w:t xml:space="preserve"> ≈ 25, that is, even higher than necessary to explain the discrepancy between the “linear” prediction and the experiments mentioned above. Therefore, the value of </w:t>
      </w:r>
      <w:proofErr w:type="spellStart"/>
      <w:r w:rsidRPr="008B7F94">
        <w:rPr>
          <w:i/>
          <w:lang w:val="en-US"/>
        </w:rPr>
        <w:t>g</w:t>
      </w:r>
      <w:r w:rsidRPr="008B7F94">
        <w:rPr>
          <w:i/>
          <w:vertAlign w:val="subscript"/>
          <w:lang w:val="en-US"/>
        </w:rPr>
        <w:t>L</w:t>
      </w:r>
      <w:proofErr w:type="spellEnd"/>
      <w:r w:rsidRPr="008B7F94">
        <w:rPr>
          <w:lang w:val="en-US"/>
        </w:rPr>
        <w:t xml:space="preserve"> inferred from the Ca</w:t>
      </w:r>
      <w:r w:rsidRPr="008B7F94">
        <w:rPr>
          <w:vertAlign w:val="superscript"/>
          <w:lang w:val="en-US"/>
        </w:rPr>
        <w:t>2+</w:t>
      </w:r>
      <w:r w:rsidRPr="008B7F94">
        <w:rPr>
          <w:lang w:val="en-US"/>
        </w:rPr>
        <w:t>-clamp experiments imposes strong constraints on the values of [</w:t>
      </w:r>
      <w:proofErr w:type="spellStart"/>
      <w:r w:rsidRPr="008B7F94">
        <w:rPr>
          <w:lang w:val="en-US"/>
        </w:rPr>
        <w:t>cG</w:t>
      </w:r>
      <w:proofErr w:type="spellEnd"/>
      <w:proofErr w:type="gramStart"/>
      <w:r w:rsidRPr="008B7F94">
        <w:rPr>
          <w:lang w:val="en-US"/>
        </w:rPr>
        <w:t>]</w:t>
      </w:r>
      <w:r w:rsidRPr="008B7F94">
        <w:rPr>
          <w:vertAlign w:val="subscript"/>
          <w:lang w:val="en-US"/>
        </w:rPr>
        <w:t>dark</w:t>
      </w:r>
      <w:proofErr w:type="gramEnd"/>
      <w:r w:rsidRPr="008B7F94">
        <w:rPr>
          <w:lang w:val="en-US"/>
        </w:rPr>
        <w:t>/</w:t>
      </w:r>
      <w:r w:rsidRPr="008B7F94">
        <w:rPr>
          <w:i/>
          <w:lang w:val="en-US"/>
        </w:rPr>
        <w:t>K</w:t>
      </w:r>
      <w:r w:rsidRPr="008B7F94">
        <w:rPr>
          <w:i/>
          <w:vertAlign w:val="subscript"/>
          <w:lang w:val="en-US"/>
        </w:rPr>
        <w:t>M</w:t>
      </w:r>
      <w:r w:rsidRPr="008B7F94">
        <w:rPr>
          <w:lang w:val="en-US"/>
        </w:rPr>
        <w:t xml:space="preserve"> and [Ca</w:t>
      </w:r>
      <w:r w:rsidRPr="008B7F94">
        <w:rPr>
          <w:vertAlign w:val="superscript"/>
          <w:lang w:val="en-US"/>
        </w:rPr>
        <w:t>2+</w:t>
      </w:r>
      <w:r w:rsidRPr="008B7F94">
        <w:rPr>
          <w:lang w:val="en-US"/>
        </w:rPr>
        <w:t>]</w:t>
      </w:r>
      <w:r w:rsidRPr="008B7F94">
        <w:rPr>
          <w:vertAlign w:val="subscript"/>
          <w:lang w:val="en-US"/>
        </w:rPr>
        <w:t>dark</w:t>
      </w:r>
      <w:r w:rsidRPr="008B7F94">
        <w:rPr>
          <w:lang w:val="en-US"/>
        </w:rPr>
        <w:t>/</w:t>
      </w:r>
      <w:proofErr w:type="spellStart"/>
      <w:r w:rsidRPr="008B7F94">
        <w:rPr>
          <w:i/>
          <w:lang w:val="en-US"/>
        </w:rPr>
        <w:t>K</w:t>
      </w:r>
      <w:r w:rsidRPr="008B7F94">
        <w:rPr>
          <w:i/>
          <w:vertAlign w:val="subscript"/>
          <w:lang w:val="en-US"/>
        </w:rPr>
        <w:t>Ex</w:t>
      </w:r>
      <w:proofErr w:type="spellEnd"/>
      <w:r w:rsidRPr="008B7F94">
        <w:rPr>
          <w:lang w:val="en-US"/>
        </w:rPr>
        <w:t xml:space="preserve">. </w:t>
      </w:r>
    </w:p>
    <w:p w:rsidR="00D03C79" w:rsidRPr="008B7F94" w:rsidRDefault="00D03C79" w:rsidP="00D03C79">
      <w:pPr>
        <w:spacing w:line="360" w:lineRule="auto"/>
        <w:rPr>
          <w:lang w:val="en-US"/>
        </w:rPr>
      </w:pPr>
      <w:r w:rsidRPr="008B7F94">
        <w:rPr>
          <w:lang w:val="en-US"/>
        </w:rPr>
        <w:tab/>
        <w:t>An extra feedback loop that affects the affinity of the CNG channels to cGMP is rather weak. It can be neglected in dark-adapted rods, since the regulation is only efficient at [Ca</w:t>
      </w:r>
      <w:r w:rsidRPr="008B7F94">
        <w:rPr>
          <w:vertAlign w:val="superscript"/>
          <w:lang w:val="en-US"/>
        </w:rPr>
        <w:t>2+</w:t>
      </w:r>
      <w:r w:rsidRPr="008B7F94">
        <w:rPr>
          <w:lang w:val="en-US"/>
        </w:rPr>
        <w:t>] &lt;&lt; [Ca</w:t>
      </w:r>
      <w:r w:rsidRPr="008B7F94">
        <w:rPr>
          <w:vertAlign w:val="superscript"/>
          <w:lang w:val="en-US"/>
        </w:rPr>
        <w:t>2+</w:t>
      </w:r>
      <w:proofErr w:type="gramStart"/>
      <w:r w:rsidRPr="008B7F94">
        <w:rPr>
          <w:lang w:val="en-US"/>
        </w:rPr>
        <w:t>]</w:t>
      </w:r>
      <w:r w:rsidRPr="008B7F94">
        <w:rPr>
          <w:vertAlign w:val="subscript"/>
          <w:lang w:val="en-US"/>
        </w:rPr>
        <w:t>dark</w:t>
      </w:r>
      <w:proofErr w:type="gramEnd"/>
      <w:r w:rsidRPr="008B7F94">
        <w:rPr>
          <w:lang w:val="en-US"/>
        </w:rPr>
        <w:t>. In cones, it may be important (reviewed in [</w:t>
      </w:r>
      <w:r w:rsidR="006D14B6" w:rsidRPr="008B7F94">
        <w:rPr>
          <w:lang w:val="en-US"/>
        </w:rPr>
        <w:t>4</w:t>
      </w:r>
      <w:r w:rsidRPr="008B7F94">
        <w:rPr>
          <w:lang w:val="en-US"/>
        </w:rPr>
        <w:t>]). The gain at this stage can be described as</w:t>
      </w:r>
    </w:p>
    <w:p w:rsidR="00D03C79" w:rsidRPr="008B7F94" w:rsidRDefault="00D03C79" w:rsidP="00D03C79">
      <w:pPr>
        <w:spacing w:line="360" w:lineRule="auto"/>
        <w:rPr>
          <w:lang w:val="en-US"/>
        </w:rPr>
      </w:pPr>
      <w:r w:rsidRPr="008B7F94">
        <w:rPr>
          <w:lang w:val="en-US"/>
        </w:rPr>
        <w:tab/>
      </w:r>
      <w:r w:rsidRPr="008B7F94">
        <w:rPr>
          <w:position w:val="-32"/>
          <w:lang w:val="en-US"/>
        </w:rPr>
        <w:object w:dxaOrig="3720" w:dyaOrig="760">
          <v:shape id="_x0000_i1052" type="#_x0000_t75" style="width:194.9pt;height:37.8pt" o:ole="">
            <v:imagedata r:id="rId65" o:title=""/>
          </v:shape>
          <o:OLEObject Type="Embed" ProgID="Equation.3" ShapeID="_x0000_i1052" DrawAspect="Content" ObjectID="_1487181816" r:id="rId66"/>
        </w:object>
      </w:r>
      <w:r w:rsidRPr="008B7F94">
        <w:rPr>
          <w:lang w:val="en-US"/>
        </w:rPr>
        <w:tab/>
      </w:r>
      <w:r w:rsidRPr="008B7F94">
        <w:rPr>
          <w:lang w:val="en-US"/>
        </w:rPr>
        <w:tab/>
      </w:r>
      <w:r w:rsidRPr="008B7F94">
        <w:rPr>
          <w:lang w:val="en-US"/>
        </w:rPr>
        <w:tab/>
      </w:r>
      <w:r w:rsidRPr="008B7F94">
        <w:rPr>
          <w:lang w:val="en-US"/>
        </w:rPr>
        <w:tab/>
      </w:r>
      <w:r w:rsidRPr="008B7F94">
        <w:rPr>
          <w:lang w:val="en-US"/>
        </w:rPr>
        <w:tab/>
        <w:t>(A25).</w:t>
      </w:r>
    </w:p>
    <w:p w:rsidR="00D03C79" w:rsidRPr="008B7F94" w:rsidRDefault="00D03C79" w:rsidP="00D03C79">
      <w:pPr>
        <w:spacing w:line="360" w:lineRule="auto"/>
        <w:rPr>
          <w:lang w:val="en-US"/>
        </w:rPr>
      </w:pPr>
      <w:r w:rsidRPr="008B7F94">
        <w:rPr>
          <w:lang w:val="en-US"/>
        </w:rPr>
        <w:t>Here</w:t>
      </w:r>
      <w:r w:rsidRPr="008B7F94">
        <w:rPr>
          <w:i/>
          <w:lang w:val="en-US"/>
        </w:rPr>
        <w:t xml:space="preserve"> j</w:t>
      </w:r>
      <w:r w:rsidRPr="008B7F94">
        <w:rPr>
          <w:lang w:val="en-US"/>
        </w:rPr>
        <w:t xml:space="preserve"> is the current through the CNG channels. Resulting computations are rather cumbersome; at the parameters of Ca-regulation given in Table A2, </w:t>
      </w:r>
      <w:proofErr w:type="spellStart"/>
      <w:r w:rsidRPr="008B7F94">
        <w:rPr>
          <w:i/>
          <w:lang w:val="en-US"/>
        </w:rPr>
        <w:t>gCNG</w:t>
      </w:r>
      <w:r w:rsidRPr="008B7F94">
        <w:rPr>
          <w:i/>
          <w:vertAlign w:val="subscript"/>
          <w:lang w:val="en-US"/>
        </w:rPr>
        <w:t>Ca</w:t>
      </w:r>
      <w:proofErr w:type="spellEnd"/>
      <w:r w:rsidRPr="008B7F94">
        <w:rPr>
          <w:lang w:val="en-US"/>
        </w:rPr>
        <w:t xml:space="preserve"> ≈ 0.8. Since </w:t>
      </w:r>
      <w:proofErr w:type="spellStart"/>
      <w:r w:rsidRPr="008B7F94">
        <w:rPr>
          <w:i/>
          <w:lang w:val="en-US"/>
        </w:rPr>
        <w:t>g</w:t>
      </w:r>
      <w:r w:rsidRPr="008B7F94">
        <w:rPr>
          <w:i/>
          <w:vertAlign w:val="subscript"/>
          <w:lang w:val="en-US"/>
        </w:rPr>
        <w:t>Ex</w:t>
      </w:r>
      <w:proofErr w:type="spellEnd"/>
      <w:r w:rsidRPr="008B7F94">
        <w:rPr>
          <w:lang w:val="en-US"/>
        </w:rPr>
        <w:t xml:space="preserve"> ≈ 1.3 (see below), </w:t>
      </w:r>
      <w:r w:rsidRPr="008B7F94">
        <w:rPr>
          <w:lang w:val="en-US"/>
        </w:rPr>
        <w:lastRenderedPageBreak/>
        <w:t xml:space="preserve">maximum contribution of this feedback chain to total </w:t>
      </w:r>
      <w:proofErr w:type="spellStart"/>
      <w:r w:rsidRPr="008B7F94">
        <w:rPr>
          <w:i/>
          <w:lang w:val="en-US"/>
        </w:rPr>
        <w:t>g</w:t>
      </w:r>
      <w:r w:rsidRPr="008B7F94">
        <w:rPr>
          <w:i/>
          <w:vertAlign w:val="subscript"/>
          <w:lang w:val="en-US"/>
        </w:rPr>
        <w:t>L</w:t>
      </w:r>
      <w:proofErr w:type="spellEnd"/>
      <w:r w:rsidRPr="008B7F94">
        <w:rPr>
          <w:lang w:val="en-US"/>
        </w:rPr>
        <w:t xml:space="preserve"> is just ≈ 1 of 11. Thus possible uncertainty of </w:t>
      </w:r>
      <w:proofErr w:type="spellStart"/>
      <w:r w:rsidRPr="008B7F94">
        <w:rPr>
          <w:i/>
          <w:lang w:val="en-US"/>
        </w:rPr>
        <w:t>gCNG</w:t>
      </w:r>
      <w:r w:rsidRPr="008B7F94">
        <w:rPr>
          <w:i/>
          <w:vertAlign w:val="subscript"/>
          <w:lang w:val="en-US"/>
        </w:rPr>
        <w:t>Ca</w:t>
      </w:r>
      <w:proofErr w:type="spellEnd"/>
      <w:r w:rsidRPr="008B7F94">
        <w:rPr>
          <w:lang w:val="en-US"/>
        </w:rPr>
        <w:t xml:space="preserve"> value is insignificant for assessing other components of </w:t>
      </w:r>
      <w:proofErr w:type="spellStart"/>
      <w:r w:rsidRPr="008B7F94">
        <w:rPr>
          <w:i/>
          <w:lang w:val="en-US"/>
        </w:rPr>
        <w:t>g</w:t>
      </w:r>
      <w:r w:rsidRPr="008B7F94">
        <w:rPr>
          <w:i/>
          <w:vertAlign w:val="subscript"/>
          <w:lang w:val="en-US"/>
        </w:rPr>
        <w:t>L</w:t>
      </w:r>
      <w:r w:rsidRPr="008B7F94">
        <w:rPr>
          <w:lang w:val="en-US"/>
        </w:rPr>
        <w:t>.</w:t>
      </w:r>
      <w:proofErr w:type="spellEnd"/>
    </w:p>
    <w:p w:rsidR="00D03C79" w:rsidRPr="008B7F94" w:rsidRDefault="00D03C79" w:rsidP="00D03C79">
      <w:pPr>
        <w:spacing w:line="360" w:lineRule="auto"/>
        <w:rPr>
          <w:lang w:val="en-US"/>
        </w:rPr>
      </w:pPr>
      <w:r w:rsidRPr="008B7F94">
        <w:rPr>
          <w:lang w:val="en-US"/>
        </w:rPr>
        <w:tab/>
        <w:t xml:space="preserve">Finally, there is an extra effect that </w:t>
      </w:r>
      <w:r w:rsidRPr="008B7F94">
        <w:rPr>
          <w:i/>
          <w:lang w:val="en-US"/>
        </w:rPr>
        <w:t xml:space="preserve">reduces </w:t>
      </w:r>
      <w:proofErr w:type="spellStart"/>
      <w:r w:rsidRPr="008B7F94">
        <w:rPr>
          <w:i/>
          <w:lang w:val="en-US"/>
        </w:rPr>
        <w:t>gCyc</w:t>
      </w:r>
      <w:proofErr w:type="spellEnd"/>
      <w:r w:rsidRPr="008B7F94">
        <w:rPr>
          <w:lang w:val="en-US"/>
        </w:rPr>
        <w:t>, the gain at the stage of GC regulation by Ca</w:t>
      </w:r>
      <w:r w:rsidRPr="008B7F94">
        <w:rPr>
          <w:vertAlign w:val="superscript"/>
          <w:lang w:val="en-US"/>
        </w:rPr>
        <w:t>2+</w:t>
      </w:r>
      <w:r w:rsidRPr="008B7F94">
        <w:rPr>
          <w:lang w:val="en-US"/>
        </w:rPr>
        <w:t xml:space="preserve">. </w:t>
      </w:r>
      <w:proofErr w:type="spellStart"/>
      <w:proofErr w:type="gramStart"/>
      <w:r w:rsidRPr="008B7F94">
        <w:rPr>
          <w:i/>
          <w:lang w:val="en-US"/>
        </w:rPr>
        <w:t>gCyc</w:t>
      </w:r>
      <w:proofErr w:type="spellEnd"/>
      <w:proofErr w:type="gramEnd"/>
      <w:r w:rsidRPr="008B7F94">
        <w:rPr>
          <w:lang w:val="en-US"/>
        </w:rPr>
        <w:t xml:space="preserve"> = </w:t>
      </w:r>
      <w:proofErr w:type="spellStart"/>
      <w:r w:rsidRPr="008B7F94">
        <w:rPr>
          <w:i/>
          <w:lang w:val="en-US"/>
        </w:rPr>
        <w:t>n</w:t>
      </w:r>
      <w:r w:rsidRPr="008B7F94">
        <w:rPr>
          <w:i/>
          <w:vertAlign w:val="subscript"/>
          <w:lang w:val="en-US"/>
        </w:rPr>
        <w:t>cyc</w:t>
      </w:r>
      <w:proofErr w:type="spellEnd"/>
      <w:r w:rsidRPr="008B7F94">
        <w:rPr>
          <w:lang w:val="en-US"/>
        </w:rPr>
        <w:t xml:space="preserve"> if the Ca</w:t>
      </w:r>
      <w:r w:rsidRPr="008B7F94">
        <w:rPr>
          <w:vertAlign w:val="superscript"/>
          <w:lang w:val="en-US"/>
        </w:rPr>
        <w:t>2+</w:t>
      </w:r>
      <w:r w:rsidRPr="008B7F94">
        <w:rPr>
          <w:lang w:val="en-US"/>
        </w:rPr>
        <w:t xml:space="preserve">-dependence of the rate of cGMP synthesis is described as </w:t>
      </w:r>
      <w:r w:rsidRPr="008B7F94">
        <w:rPr>
          <w:i/>
          <w:lang w:val="en-US"/>
        </w:rPr>
        <w:t>GC = A</w:t>
      </w:r>
      <w:r w:rsidRPr="008B7F94">
        <w:rPr>
          <w:lang w:val="en-US"/>
        </w:rPr>
        <w:t>/[Ca</w:t>
      </w:r>
      <w:r w:rsidRPr="008B7F94">
        <w:rPr>
          <w:vertAlign w:val="superscript"/>
          <w:lang w:val="en-US"/>
        </w:rPr>
        <w:t>2+</w:t>
      </w:r>
      <w:r w:rsidRPr="008B7F94">
        <w:rPr>
          <w:lang w:val="en-US"/>
        </w:rPr>
        <w:t>]</w:t>
      </w:r>
      <w:proofErr w:type="spellStart"/>
      <w:r w:rsidRPr="008B7F94">
        <w:rPr>
          <w:i/>
          <w:vertAlign w:val="superscript"/>
          <w:lang w:val="en-US"/>
        </w:rPr>
        <w:t>n</w:t>
      </w:r>
      <w:r w:rsidRPr="008B7F94">
        <w:rPr>
          <w:i/>
          <w:vertAlign w:val="subscript"/>
          <w:lang w:val="en-US"/>
        </w:rPr>
        <w:t>cyc</w:t>
      </w:r>
      <w:proofErr w:type="spellEnd"/>
      <w:r w:rsidRPr="008B7F94">
        <w:rPr>
          <w:lang w:val="en-US"/>
        </w:rPr>
        <w:t>, that is, the maximum rate is infinite at [Ca</w:t>
      </w:r>
      <w:r w:rsidRPr="008B7F94">
        <w:rPr>
          <w:vertAlign w:val="superscript"/>
          <w:lang w:val="en-US"/>
        </w:rPr>
        <w:t>2+</w:t>
      </w:r>
      <w:r w:rsidRPr="008B7F94">
        <w:rPr>
          <w:lang w:val="en-US"/>
        </w:rPr>
        <w:t>] = 0, and zero at high [Ca</w:t>
      </w:r>
      <w:r w:rsidRPr="008B7F94">
        <w:rPr>
          <w:vertAlign w:val="superscript"/>
          <w:lang w:val="en-US"/>
        </w:rPr>
        <w:t>2+</w:t>
      </w:r>
      <w:r w:rsidRPr="008B7F94">
        <w:rPr>
          <w:lang w:val="en-US"/>
        </w:rPr>
        <w:t>]. More realistic description is a Hill-type equation (A6). The effect is small. If a maximum ten-fold acceleration of the cGMP synthesis with respect to its “dark” value is assumed (that is, ([</w:t>
      </w:r>
      <w:r w:rsidRPr="008B7F94">
        <w:rPr>
          <w:i/>
          <w:lang w:val="en-US"/>
        </w:rPr>
        <w:t>Ca</w:t>
      </w:r>
      <w:r w:rsidRPr="008B7F94">
        <w:rPr>
          <w:i/>
          <w:vertAlign w:val="superscript"/>
          <w:lang w:val="en-US"/>
        </w:rPr>
        <w:t>2+</w:t>
      </w:r>
      <w:proofErr w:type="gramStart"/>
      <w:r w:rsidRPr="008B7F94">
        <w:rPr>
          <w:lang w:val="en-US"/>
        </w:rPr>
        <w:t>]</w:t>
      </w:r>
      <w:r w:rsidRPr="008B7F94">
        <w:rPr>
          <w:vertAlign w:val="subscript"/>
          <w:lang w:val="en-US"/>
        </w:rPr>
        <w:t>dark</w:t>
      </w:r>
      <w:proofErr w:type="gramEnd"/>
      <w:r w:rsidRPr="008B7F94">
        <w:rPr>
          <w:lang w:val="en-US"/>
        </w:rPr>
        <w:t>/</w:t>
      </w:r>
      <w:proofErr w:type="spellStart"/>
      <w:r w:rsidRPr="008B7F94">
        <w:rPr>
          <w:i/>
          <w:lang w:val="en-US"/>
        </w:rPr>
        <w:t>K</w:t>
      </w:r>
      <w:r w:rsidRPr="008B7F94">
        <w:rPr>
          <w:i/>
          <w:vertAlign w:val="subscript"/>
          <w:lang w:val="en-US"/>
        </w:rPr>
        <w:t>cyc</w:t>
      </w:r>
      <w:proofErr w:type="spellEnd"/>
      <w:r w:rsidRPr="008B7F94">
        <w:rPr>
          <w:lang w:val="en-US"/>
        </w:rPr>
        <w:t>)</w:t>
      </w:r>
      <w:proofErr w:type="spellStart"/>
      <w:r w:rsidRPr="008B7F94">
        <w:rPr>
          <w:i/>
          <w:vertAlign w:val="superscript"/>
          <w:lang w:val="en-US"/>
        </w:rPr>
        <w:t>n</w:t>
      </w:r>
      <w:r w:rsidRPr="008B7F94">
        <w:rPr>
          <w:i/>
          <w:vertAlign w:val="subscript"/>
          <w:lang w:val="en-US"/>
        </w:rPr>
        <w:t>cyc</w:t>
      </w:r>
      <w:proofErr w:type="spellEnd"/>
      <w:r w:rsidRPr="008B7F94">
        <w:rPr>
          <w:lang w:val="en-US"/>
        </w:rPr>
        <w:t xml:space="preserve"> = 9),  </w:t>
      </w:r>
      <w:proofErr w:type="spellStart"/>
      <w:r w:rsidRPr="008B7F94">
        <w:rPr>
          <w:i/>
          <w:lang w:val="en-US"/>
        </w:rPr>
        <w:t>gCyc</w:t>
      </w:r>
      <w:proofErr w:type="spellEnd"/>
      <w:r w:rsidRPr="008B7F94">
        <w:rPr>
          <w:lang w:val="en-US"/>
        </w:rPr>
        <w:t xml:space="preserve"> ≈ 0.9</w:t>
      </w:r>
      <w:r w:rsidRPr="008B7F94">
        <w:rPr>
          <w:vertAlign w:val="superscript"/>
          <w:lang w:val="en-US"/>
        </w:rPr>
        <w:t>.</w:t>
      </w:r>
      <w:r w:rsidRPr="008B7F94">
        <w:rPr>
          <w:i/>
          <w:lang w:val="en-US"/>
        </w:rPr>
        <w:t>n</w:t>
      </w:r>
      <w:r w:rsidRPr="008B7F94">
        <w:rPr>
          <w:i/>
          <w:vertAlign w:val="subscript"/>
          <w:lang w:val="en-US"/>
        </w:rPr>
        <w:t>cyc</w:t>
      </w:r>
      <w:r w:rsidRPr="008B7F94">
        <w:rPr>
          <w:lang w:val="en-US"/>
        </w:rPr>
        <w:t>.</w:t>
      </w:r>
    </w:p>
    <w:p w:rsidR="00D03C79" w:rsidRPr="008B7F94" w:rsidRDefault="00D03C79" w:rsidP="00D03C79">
      <w:pPr>
        <w:spacing w:line="360" w:lineRule="auto"/>
        <w:rPr>
          <w:lang w:val="en-US"/>
        </w:rPr>
      </w:pPr>
      <w:r w:rsidRPr="008B7F94">
        <w:rPr>
          <w:lang w:val="en-US"/>
        </w:rPr>
        <w:tab/>
        <w:t>Taking into account all the non-</w:t>
      </w:r>
      <w:proofErr w:type="spellStart"/>
      <w:r w:rsidRPr="008B7F94">
        <w:rPr>
          <w:lang w:val="en-US"/>
        </w:rPr>
        <w:t>linearities</w:t>
      </w:r>
      <w:proofErr w:type="spellEnd"/>
      <w:r w:rsidRPr="008B7F94">
        <w:rPr>
          <w:lang w:val="en-US"/>
        </w:rPr>
        <w:t xml:space="preserve">, the maximum </w:t>
      </w:r>
      <w:proofErr w:type="spellStart"/>
      <w:r w:rsidRPr="008B7F94">
        <w:rPr>
          <w:i/>
          <w:lang w:val="en-US"/>
        </w:rPr>
        <w:t>g</w:t>
      </w:r>
      <w:r w:rsidRPr="008B7F94">
        <w:rPr>
          <w:i/>
          <w:vertAlign w:val="subscript"/>
          <w:lang w:val="en-US"/>
        </w:rPr>
        <w:t>L</w:t>
      </w:r>
      <w:proofErr w:type="spellEnd"/>
      <w:r w:rsidRPr="008B7F94">
        <w:rPr>
          <w:lang w:val="en-US"/>
        </w:rPr>
        <w:t xml:space="preserve"> = 11 we obtained limits the product (1</w:t>
      </w:r>
      <w:proofErr w:type="gramStart"/>
      <w:r w:rsidRPr="008B7F94">
        <w:rPr>
          <w:lang w:val="en-US"/>
        </w:rPr>
        <w:t>+[</w:t>
      </w:r>
      <w:proofErr w:type="spellStart"/>
      <w:proofErr w:type="gramEnd"/>
      <w:r w:rsidRPr="008B7F94">
        <w:rPr>
          <w:lang w:val="en-US"/>
        </w:rPr>
        <w:t>cG</w:t>
      </w:r>
      <w:proofErr w:type="spellEnd"/>
      <w:r w:rsidRPr="008B7F94">
        <w:rPr>
          <w:lang w:val="en-US"/>
        </w:rPr>
        <w:t>]</w:t>
      </w:r>
      <w:r w:rsidRPr="008B7F94">
        <w:rPr>
          <w:vertAlign w:val="subscript"/>
          <w:lang w:val="en-US"/>
        </w:rPr>
        <w:t>dark</w:t>
      </w:r>
      <w:r w:rsidRPr="008B7F94">
        <w:rPr>
          <w:lang w:val="en-US"/>
        </w:rPr>
        <w:t>/</w:t>
      </w:r>
      <w:r w:rsidRPr="008B7F94">
        <w:rPr>
          <w:i/>
          <w:lang w:val="en-US"/>
        </w:rPr>
        <w:t>K</w:t>
      </w:r>
      <w:r w:rsidRPr="008B7F94">
        <w:rPr>
          <w:i/>
          <w:vertAlign w:val="subscript"/>
          <w:lang w:val="en-US"/>
        </w:rPr>
        <w:t>M</w:t>
      </w:r>
      <w:r w:rsidRPr="008B7F94">
        <w:rPr>
          <w:lang w:val="en-US"/>
        </w:rPr>
        <w:t>)</w:t>
      </w:r>
      <w:r w:rsidRPr="008B7F94">
        <w:rPr>
          <w:vertAlign w:val="superscript"/>
          <w:lang w:val="en-US"/>
        </w:rPr>
        <w:t>.</w:t>
      </w:r>
      <w:r w:rsidRPr="008B7F94">
        <w:rPr>
          <w:lang w:val="en-US"/>
        </w:rPr>
        <w:t>(1+[Ca</w:t>
      </w:r>
      <w:r w:rsidRPr="008B7F94">
        <w:rPr>
          <w:vertAlign w:val="superscript"/>
          <w:lang w:val="en-US"/>
        </w:rPr>
        <w:t>2+</w:t>
      </w:r>
      <w:r w:rsidRPr="008B7F94">
        <w:rPr>
          <w:lang w:val="en-US"/>
        </w:rPr>
        <w:t>]</w:t>
      </w:r>
      <w:r w:rsidRPr="008B7F94">
        <w:rPr>
          <w:vertAlign w:val="subscript"/>
          <w:lang w:val="en-US"/>
        </w:rPr>
        <w:t>dark</w:t>
      </w:r>
      <w:r w:rsidRPr="008B7F94">
        <w:rPr>
          <w:lang w:val="en-US"/>
        </w:rPr>
        <w:t>/</w:t>
      </w:r>
      <w:proofErr w:type="spellStart"/>
      <w:r w:rsidRPr="008B7F94">
        <w:rPr>
          <w:i/>
          <w:lang w:val="en-US"/>
        </w:rPr>
        <w:t>K</w:t>
      </w:r>
      <w:r w:rsidRPr="008B7F94">
        <w:rPr>
          <w:i/>
          <w:vertAlign w:val="subscript"/>
          <w:lang w:val="en-US"/>
        </w:rPr>
        <w:t>Ex</w:t>
      </w:r>
      <w:proofErr w:type="spellEnd"/>
      <w:r w:rsidRPr="008B7F94">
        <w:rPr>
          <w:lang w:val="en-US"/>
        </w:rPr>
        <w:t xml:space="preserve">) to ≤ 1.7. The situation </w:t>
      </w:r>
      <w:r w:rsidRPr="008B7F94">
        <w:rPr>
          <w:i/>
          <w:lang w:val="en-US"/>
        </w:rPr>
        <w:t xml:space="preserve">C ≥ </w:t>
      </w:r>
      <w:r w:rsidRPr="008B7F94">
        <w:rPr>
          <w:lang w:val="en-US"/>
        </w:rPr>
        <w:t>0.7</w:t>
      </w:r>
      <w:r w:rsidRPr="008B7F94">
        <w:rPr>
          <w:b/>
          <w:vertAlign w:val="superscript"/>
          <w:lang w:val="en-US"/>
        </w:rPr>
        <w:t>.</w:t>
      </w:r>
      <w:r w:rsidRPr="008B7F94">
        <w:rPr>
          <w:i/>
          <w:lang w:val="en-US"/>
        </w:rPr>
        <w:t>K</w:t>
      </w:r>
      <w:r w:rsidRPr="008B7F94">
        <w:rPr>
          <w:i/>
          <w:vertAlign w:val="subscript"/>
          <w:lang w:val="en-US"/>
        </w:rPr>
        <w:t>1/2</w:t>
      </w:r>
      <w:r w:rsidRPr="008B7F94">
        <w:rPr>
          <w:lang w:val="en-US"/>
        </w:rPr>
        <w:t xml:space="preserve"> for either process can be excluded.</w:t>
      </w:r>
    </w:p>
    <w:p w:rsidR="00D03C79" w:rsidRPr="008B7F94" w:rsidRDefault="00D03C79" w:rsidP="00D03C79">
      <w:pPr>
        <w:spacing w:line="360" w:lineRule="auto"/>
        <w:rPr>
          <w:lang w:val="en-US"/>
        </w:rPr>
      </w:pPr>
      <w:r w:rsidRPr="008B7F94">
        <w:rPr>
          <w:lang w:val="en-US"/>
        </w:rPr>
        <w:tab/>
        <w:t>For further modeling, we share the extra 1.7-fold gain equally among the cGMP hydrolysis and Ca</w:t>
      </w:r>
      <w:r w:rsidRPr="008B7F94">
        <w:rPr>
          <w:vertAlign w:val="superscript"/>
          <w:lang w:val="en-US"/>
        </w:rPr>
        <w:t>2+</w:t>
      </w:r>
      <w:r w:rsidRPr="008B7F94">
        <w:rPr>
          <w:lang w:val="en-US"/>
        </w:rPr>
        <w:t>-pumping, and choose [Ca</w:t>
      </w:r>
      <w:r w:rsidRPr="008B7F94">
        <w:rPr>
          <w:vertAlign w:val="superscript"/>
          <w:lang w:val="en-US"/>
        </w:rPr>
        <w:t>2+</w:t>
      </w:r>
      <w:proofErr w:type="gramStart"/>
      <w:r w:rsidRPr="008B7F94">
        <w:rPr>
          <w:lang w:val="en-US"/>
        </w:rPr>
        <w:t>]</w:t>
      </w:r>
      <w:r w:rsidRPr="008B7F94">
        <w:rPr>
          <w:vertAlign w:val="subscript"/>
          <w:lang w:val="en-US"/>
        </w:rPr>
        <w:t>dark</w:t>
      </w:r>
      <w:proofErr w:type="gramEnd"/>
      <w:r w:rsidRPr="008B7F94">
        <w:rPr>
          <w:lang w:val="en-US"/>
        </w:rPr>
        <w:t>/</w:t>
      </w:r>
      <w:proofErr w:type="spellStart"/>
      <w:r w:rsidRPr="008B7F94">
        <w:rPr>
          <w:i/>
          <w:lang w:val="en-US"/>
        </w:rPr>
        <w:t>K</w:t>
      </w:r>
      <w:r w:rsidRPr="008B7F94">
        <w:rPr>
          <w:i/>
          <w:vertAlign w:val="subscript"/>
          <w:lang w:val="en-US"/>
        </w:rPr>
        <w:t>Ex</w:t>
      </w:r>
      <w:proofErr w:type="spellEnd"/>
      <w:r w:rsidRPr="008B7F94">
        <w:rPr>
          <w:lang w:val="en-US"/>
        </w:rPr>
        <w:t xml:space="preserve"> = [</w:t>
      </w:r>
      <w:proofErr w:type="spellStart"/>
      <w:r w:rsidRPr="008B7F94">
        <w:rPr>
          <w:lang w:val="en-US"/>
        </w:rPr>
        <w:t>cG</w:t>
      </w:r>
      <w:proofErr w:type="spellEnd"/>
      <w:r w:rsidRPr="008B7F94">
        <w:rPr>
          <w:lang w:val="en-US"/>
        </w:rPr>
        <w:t>]</w:t>
      </w:r>
      <w:r w:rsidRPr="008B7F94">
        <w:rPr>
          <w:vertAlign w:val="subscript"/>
          <w:lang w:val="en-US"/>
        </w:rPr>
        <w:t>dark</w:t>
      </w:r>
      <w:r w:rsidRPr="008B7F94">
        <w:rPr>
          <w:lang w:val="en-US"/>
        </w:rPr>
        <w:t>/</w:t>
      </w:r>
      <w:r w:rsidRPr="008B7F94">
        <w:rPr>
          <w:i/>
          <w:lang w:val="en-US"/>
        </w:rPr>
        <w:t>K</w:t>
      </w:r>
      <w:r w:rsidRPr="008B7F94">
        <w:rPr>
          <w:i/>
          <w:vertAlign w:val="subscript"/>
          <w:lang w:val="en-US"/>
        </w:rPr>
        <w:t>M</w:t>
      </w:r>
      <w:r w:rsidRPr="008B7F94">
        <w:rPr>
          <w:lang w:val="en-US"/>
        </w:rPr>
        <w:t xml:space="preserve"> = 0.3.</w:t>
      </w:r>
    </w:p>
    <w:p w:rsidR="00D03C79" w:rsidRPr="008B7F94" w:rsidRDefault="00D03C79" w:rsidP="00D03C79">
      <w:pPr>
        <w:spacing w:line="360" w:lineRule="auto"/>
        <w:rPr>
          <w:lang w:val="en-US"/>
        </w:rPr>
      </w:pPr>
      <w:r w:rsidRPr="008B7F94">
        <w:rPr>
          <w:lang w:val="en-US"/>
        </w:rPr>
        <w:tab/>
      </w:r>
    </w:p>
    <w:p w:rsidR="00D03C79" w:rsidRPr="008B7F94" w:rsidRDefault="00D03C79" w:rsidP="00D03C79">
      <w:pPr>
        <w:spacing w:line="360" w:lineRule="auto"/>
        <w:outlineLvl w:val="0"/>
        <w:rPr>
          <w:lang w:val="en-US"/>
        </w:rPr>
      </w:pPr>
      <w:r w:rsidRPr="008B7F94">
        <w:rPr>
          <w:i/>
          <w:lang w:val="en-US"/>
        </w:rPr>
        <w:t xml:space="preserve">Dark cGMP turnover and the speed of the turnoffs of the photoactivated PDE: </w:t>
      </w:r>
      <w:r w:rsidRPr="008B7F94">
        <w:rPr>
          <w:lang w:val="en-US"/>
        </w:rPr>
        <w:t>Elimination of the Ca</w:t>
      </w:r>
      <w:r w:rsidRPr="008B7F94">
        <w:rPr>
          <w:vertAlign w:val="superscript"/>
          <w:lang w:val="en-US"/>
        </w:rPr>
        <w:t>2+</w:t>
      </w:r>
      <w:r w:rsidRPr="008B7F94">
        <w:rPr>
          <w:lang w:val="en-US"/>
        </w:rPr>
        <w:t>-feedback greatly simplifies the analysis of the photoresponse. Thus, Ca</w:t>
      </w:r>
      <w:r w:rsidRPr="008B7F94">
        <w:rPr>
          <w:vertAlign w:val="superscript"/>
          <w:lang w:val="en-US"/>
        </w:rPr>
        <w:t>2+</w:t>
      </w:r>
      <w:r w:rsidRPr="008B7F94">
        <w:rPr>
          <w:lang w:val="en-US"/>
        </w:rPr>
        <w:t xml:space="preserve">-clamped electrical response can be used to extract the underlying light-induced PDE activity. The cGMP turnover is described as </w:t>
      </w:r>
    </w:p>
    <w:p w:rsidR="00D03C79" w:rsidRPr="008B7F94" w:rsidRDefault="00D03C79" w:rsidP="00D03C79">
      <w:pPr>
        <w:spacing w:line="360" w:lineRule="auto"/>
        <w:rPr>
          <w:lang w:val="en-US"/>
        </w:rPr>
      </w:pPr>
      <w:r w:rsidRPr="008B7F94">
        <w:rPr>
          <w:lang w:val="en-US"/>
        </w:rPr>
        <w:tab/>
      </w:r>
      <w:r w:rsidRPr="008B7F94">
        <w:rPr>
          <w:position w:val="-34"/>
          <w:sz w:val="20"/>
        </w:rPr>
        <w:object w:dxaOrig="5120" w:dyaOrig="780">
          <v:shape id="_x0000_i1053" type="#_x0000_t75" style="width:256.55pt;height:38.6pt" o:ole="" fillcolor="window">
            <v:imagedata r:id="rId67" o:title=""/>
          </v:shape>
          <o:OLEObject Type="Embed" ProgID="Equation.3" ShapeID="_x0000_i1053" DrawAspect="Content" ObjectID="_1487181817" r:id="rId68"/>
        </w:object>
      </w:r>
      <w:r w:rsidRPr="008B7F94">
        <w:rPr>
          <w:lang w:val="en-US"/>
        </w:rPr>
        <w:tab/>
      </w:r>
      <w:r w:rsidRPr="008B7F94">
        <w:rPr>
          <w:lang w:val="en-US"/>
        </w:rPr>
        <w:tab/>
      </w:r>
      <w:r w:rsidRPr="008B7F94">
        <w:rPr>
          <w:lang w:val="en-US"/>
        </w:rPr>
        <w:tab/>
        <w:t>(A26).</w:t>
      </w:r>
    </w:p>
    <w:p w:rsidR="00D03C79" w:rsidRPr="008B7F94" w:rsidRDefault="00D03C79" w:rsidP="00D03C79">
      <w:pPr>
        <w:spacing w:line="360" w:lineRule="auto"/>
        <w:rPr>
          <w:lang w:val="en-US"/>
        </w:rPr>
      </w:pPr>
      <w:r w:rsidRPr="008B7F94">
        <w:rPr>
          <w:lang w:val="en-US"/>
        </w:rPr>
        <w:t>Here</w:t>
      </w:r>
      <w:r w:rsidRPr="008B7F94">
        <w:rPr>
          <w:i/>
          <w:lang w:val="en-US"/>
        </w:rPr>
        <w:t xml:space="preserve"> </w:t>
      </w:r>
      <w:proofErr w:type="spellStart"/>
      <w:proofErr w:type="gramStart"/>
      <w:r w:rsidRPr="008B7F94">
        <w:rPr>
          <w:i/>
          <w:lang w:val="en-US"/>
        </w:rPr>
        <w:t>cG</w:t>
      </w:r>
      <w:proofErr w:type="spellEnd"/>
      <w:r w:rsidRPr="008B7F94">
        <w:rPr>
          <w:i/>
          <w:lang w:val="en-US"/>
        </w:rPr>
        <w:t>(</w:t>
      </w:r>
      <w:proofErr w:type="gramEnd"/>
      <w:r w:rsidRPr="008B7F94">
        <w:rPr>
          <w:i/>
          <w:lang w:val="en-US"/>
        </w:rPr>
        <w:t>t)</w:t>
      </w:r>
      <w:r w:rsidRPr="008B7F94">
        <w:rPr>
          <w:lang w:val="en-US"/>
        </w:rPr>
        <w:t xml:space="preserve"> is the concentration of cGMP (</w:t>
      </w:r>
      <w:r w:rsidRPr="008B7F94">
        <w:rPr>
          <w:rFonts w:ascii="Symbol" w:hAnsi="Symbol"/>
          <w:lang w:val="en-US"/>
        </w:rPr>
        <w:t></w:t>
      </w:r>
      <w:r w:rsidRPr="008B7F94">
        <w:rPr>
          <w:lang w:val="en-US"/>
        </w:rPr>
        <w:t xml:space="preserve">M), </w:t>
      </w:r>
      <w:r w:rsidRPr="008B7F94">
        <w:rPr>
          <w:rFonts w:ascii="Symbol" w:hAnsi="Symbol"/>
          <w:i/>
          <w:lang w:val="en-US"/>
        </w:rPr>
        <w:t></w:t>
      </w:r>
      <w:r w:rsidRPr="008B7F94">
        <w:rPr>
          <w:i/>
          <w:lang w:val="en-US"/>
        </w:rPr>
        <w:t>(t)</w:t>
      </w:r>
      <w:r w:rsidRPr="008B7F94">
        <w:rPr>
          <w:lang w:val="en-US"/>
        </w:rPr>
        <w:t xml:space="preserve"> is the rate of the cGMP synthesis by guanylate cyclase (</w:t>
      </w:r>
      <w:r w:rsidRPr="008B7F94">
        <w:rPr>
          <w:rFonts w:ascii="Symbol" w:hAnsi="Symbol"/>
          <w:lang w:val="en-US"/>
        </w:rPr>
        <w:t></w:t>
      </w:r>
      <w:r w:rsidRPr="008B7F94">
        <w:rPr>
          <w:lang w:val="en-US"/>
        </w:rPr>
        <w:t>M</w:t>
      </w:r>
      <w:r w:rsidRPr="008B7F94">
        <w:rPr>
          <w:vertAlign w:val="superscript"/>
          <w:lang w:val="en-US"/>
        </w:rPr>
        <w:t>.</w:t>
      </w:r>
      <w:r w:rsidRPr="008B7F94">
        <w:rPr>
          <w:lang w:val="en-US"/>
        </w:rPr>
        <w:t>s</w:t>
      </w:r>
      <w:r w:rsidRPr="008B7F94">
        <w:rPr>
          <w:vertAlign w:val="superscript"/>
          <w:lang w:val="en-US"/>
        </w:rPr>
        <w:t>-1</w:t>
      </w:r>
      <w:r w:rsidRPr="008B7F94">
        <w:rPr>
          <w:lang w:val="en-US"/>
        </w:rPr>
        <w:t xml:space="preserve">), </w:t>
      </w:r>
      <w:r w:rsidRPr="008B7F94">
        <w:rPr>
          <w:rFonts w:ascii="Symbol" w:hAnsi="Symbol"/>
          <w:i/>
          <w:lang w:val="en-US"/>
        </w:rPr>
        <w:t></w:t>
      </w:r>
      <w:r w:rsidRPr="008B7F94">
        <w:rPr>
          <w:i/>
          <w:vertAlign w:val="subscript"/>
          <w:lang w:val="en-US"/>
        </w:rPr>
        <w:t>dark</w:t>
      </w:r>
      <w:r w:rsidRPr="008B7F94">
        <w:rPr>
          <w:lang w:val="en-US"/>
        </w:rPr>
        <w:t xml:space="preserve"> is the steady PDE activity in darkness, </w:t>
      </w:r>
      <w:r w:rsidRPr="008B7F94">
        <w:rPr>
          <w:rFonts w:ascii="Symbol" w:hAnsi="Symbol"/>
          <w:i/>
          <w:lang w:val="en-US"/>
        </w:rPr>
        <w:t></w:t>
      </w:r>
      <w:r w:rsidRPr="008B7F94">
        <w:rPr>
          <w:rFonts w:ascii="Symbol" w:hAnsi="Symbol"/>
          <w:i/>
          <w:lang w:val="en-US"/>
        </w:rPr>
        <w:t></w:t>
      </w:r>
      <w:r w:rsidRPr="008B7F94">
        <w:rPr>
          <w:i/>
          <w:vertAlign w:val="subscript"/>
          <w:lang w:val="en-US"/>
        </w:rPr>
        <w:t>l</w:t>
      </w:r>
      <w:r w:rsidRPr="008B7F94">
        <w:rPr>
          <w:i/>
          <w:lang w:val="en-US"/>
        </w:rPr>
        <w:t>(t)</w:t>
      </w:r>
      <w:r w:rsidRPr="008B7F94">
        <w:rPr>
          <w:lang w:val="en-US"/>
        </w:rPr>
        <w:t xml:space="preserve"> is the light-induced PDE activity (</w:t>
      </w:r>
      <w:r w:rsidRPr="008B7F94">
        <w:rPr>
          <w:rFonts w:ascii="Symbol" w:hAnsi="Symbol"/>
          <w:lang w:val="en-US"/>
        </w:rPr>
        <w:t></w:t>
      </w:r>
      <w:r w:rsidRPr="008B7F94">
        <w:rPr>
          <w:lang w:val="en-US"/>
        </w:rPr>
        <w:t>M</w:t>
      </w:r>
      <w:r w:rsidRPr="008B7F94">
        <w:rPr>
          <w:vertAlign w:val="superscript"/>
          <w:lang w:val="en-US"/>
        </w:rPr>
        <w:t>.</w:t>
      </w:r>
      <w:r w:rsidRPr="008B7F94">
        <w:rPr>
          <w:lang w:val="en-US"/>
        </w:rPr>
        <w:t>s</w:t>
      </w:r>
      <w:r w:rsidRPr="008B7F94">
        <w:rPr>
          <w:vertAlign w:val="superscript"/>
          <w:lang w:val="en-US"/>
        </w:rPr>
        <w:t>-1</w:t>
      </w:r>
      <w:r w:rsidRPr="008B7F94">
        <w:rPr>
          <w:lang w:val="en-US"/>
        </w:rPr>
        <w:t xml:space="preserve">), and </w:t>
      </w:r>
      <w:r w:rsidRPr="008B7F94">
        <w:rPr>
          <w:i/>
          <w:lang w:val="en-US"/>
        </w:rPr>
        <w:t>K</w:t>
      </w:r>
      <w:r w:rsidRPr="008B7F94">
        <w:rPr>
          <w:i/>
          <w:vertAlign w:val="subscript"/>
          <w:lang w:val="en-US"/>
        </w:rPr>
        <w:t>M</w:t>
      </w:r>
      <w:r w:rsidRPr="008B7F94">
        <w:rPr>
          <w:lang w:val="en-US"/>
        </w:rPr>
        <w:t xml:space="preserve"> is the </w:t>
      </w:r>
      <w:proofErr w:type="spellStart"/>
      <w:r w:rsidRPr="008B7F94">
        <w:rPr>
          <w:lang w:val="en-US"/>
        </w:rPr>
        <w:t>Michaelis</w:t>
      </w:r>
      <w:proofErr w:type="spellEnd"/>
      <w:r w:rsidRPr="008B7F94">
        <w:rPr>
          <w:lang w:val="en-US"/>
        </w:rPr>
        <w:t>’ constant of PDE (</w:t>
      </w:r>
      <w:r w:rsidRPr="008B7F94">
        <w:rPr>
          <w:rFonts w:ascii="Symbol" w:hAnsi="Symbol"/>
          <w:lang w:val="en-US"/>
        </w:rPr>
        <w:t></w:t>
      </w:r>
      <w:r w:rsidRPr="008B7F94">
        <w:rPr>
          <w:lang w:val="en-US"/>
        </w:rPr>
        <w:t xml:space="preserve">M). Normalizing eq. (A26) to the cGMP concentration in darkness, </w:t>
      </w:r>
      <w:proofErr w:type="spellStart"/>
      <w:r w:rsidRPr="008B7F94">
        <w:rPr>
          <w:i/>
          <w:lang w:val="en-US"/>
        </w:rPr>
        <w:t>cG</w:t>
      </w:r>
      <w:r w:rsidRPr="008B7F94">
        <w:rPr>
          <w:i/>
          <w:vertAlign w:val="subscript"/>
          <w:lang w:val="en-US"/>
        </w:rPr>
        <w:t>dark</w:t>
      </w:r>
      <w:proofErr w:type="spellEnd"/>
      <w:r w:rsidRPr="008B7F94">
        <w:rPr>
          <w:vertAlign w:val="subscript"/>
          <w:lang w:val="en-US"/>
        </w:rPr>
        <w:t xml:space="preserve">, </w:t>
      </w:r>
      <w:r w:rsidRPr="008B7F94">
        <w:rPr>
          <w:lang w:val="en-US"/>
        </w:rPr>
        <w:t>one gets</w:t>
      </w:r>
    </w:p>
    <w:p w:rsidR="00D03C79" w:rsidRPr="008B7F94" w:rsidRDefault="00D03C79" w:rsidP="00D03C79">
      <w:pPr>
        <w:spacing w:line="360" w:lineRule="auto"/>
        <w:rPr>
          <w:lang w:val="en-US"/>
        </w:rPr>
      </w:pPr>
      <w:r w:rsidRPr="008B7F94">
        <w:rPr>
          <w:position w:val="-32"/>
        </w:rPr>
        <w:object w:dxaOrig="4180" w:dyaOrig="760">
          <v:shape id="_x0000_i1054" type="#_x0000_t75" style="width:208.85pt;height:37.8pt" o:ole="">
            <v:imagedata r:id="rId69" o:title=""/>
          </v:shape>
          <o:OLEObject Type="Embed" ProgID="Equation.3" ShapeID="_x0000_i1054" DrawAspect="Content" ObjectID="_1487181818" r:id="rId70"/>
        </w:object>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t>(A27)</w:t>
      </w:r>
    </w:p>
    <w:p w:rsidR="00D03C79" w:rsidRPr="008B7F94" w:rsidRDefault="00D03C79" w:rsidP="00D03C79">
      <w:pPr>
        <w:spacing w:line="360" w:lineRule="auto"/>
        <w:rPr>
          <w:lang w:val="en-US"/>
        </w:rPr>
      </w:pPr>
      <w:proofErr w:type="gramStart"/>
      <w:r w:rsidRPr="008B7F94">
        <w:rPr>
          <w:lang w:val="en-US"/>
        </w:rPr>
        <w:t>where</w:t>
      </w:r>
      <w:proofErr w:type="gramEnd"/>
      <w:r w:rsidRPr="008B7F94">
        <w:rPr>
          <w:lang w:val="en-US"/>
        </w:rPr>
        <w:t xml:space="preserve"> </w:t>
      </w:r>
      <w:r w:rsidRPr="008B7F94">
        <w:rPr>
          <w:i/>
          <w:lang w:val="en-US"/>
        </w:rPr>
        <w:t>c(t)</w:t>
      </w:r>
      <w:r w:rsidRPr="008B7F94">
        <w:rPr>
          <w:lang w:val="en-US"/>
        </w:rPr>
        <w:t xml:space="preserve"> is normalized cGMP concentration, </w:t>
      </w:r>
      <w:r w:rsidRPr="008B7F94">
        <w:rPr>
          <w:i/>
          <w:lang w:val="en-US"/>
        </w:rPr>
        <w:t>k = K</w:t>
      </w:r>
      <w:r w:rsidRPr="008B7F94">
        <w:rPr>
          <w:i/>
          <w:vertAlign w:val="subscript"/>
          <w:lang w:val="en-US"/>
        </w:rPr>
        <w:t>M</w:t>
      </w:r>
      <w:r w:rsidRPr="008B7F94">
        <w:rPr>
          <w:i/>
          <w:lang w:val="en-US"/>
        </w:rPr>
        <w:t>/</w:t>
      </w:r>
      <w:proofErr w:type="spellStart"/>
      <w:r w:rsidRPr="008B7F94">
        <w:rPr>
          <w:i/>
          <w:lang w:val="en-US"/>
        </w:rPr>
        <w:t>cG</w:t>
      </w:r>
      <w:r w:rsidRPr="008B7F94">
        <w:rPr>
          <w:i/>
          <w:vertAlign w:val="subscript"/>
          <w:lang w:val="en-US"/>
        </w:rPr>
        <w:t>dark</w:t>
      </w:r>
      <w:proofErr w:type="spellEnd"/>
      <w:r w:rsidRPr="008B7F94">
        <w:rPr>
          <w:lang w:val="en-US"/>
        </w:rPr>
        <w:t xml:space="preserve">, and the rates of synthesis and hydrolysis </w:t>
      </w:r>
      <w:r w:rsidRPr="008B7F94">
        <w:rPr>
          <w:i/>
          <w:lang w:val="en-US"/>
        </w:rPr>
        <w:t>a(t)</w:t>
      </w:r>
      <w:r w:rsidRPr="008B7F94">
        <w:rPr>
          <w:lang w:val="en-US"/>
        </w:rPr>
        <w:t xml:space="preserve">, </w:t>
      </w:r>
      <w:proofErr w:type="spellStart"/>
      <w:r w:rsidRPr="008B7F94">
        <w:rPr>
          <w:i/>
          <w:lang w:val="en-US"/>
        </w:rPr>
        <w:t>b</w:t>
      </w:r>
      <w:r w:rsidRPr="008B7F94">
        <w:rPr>
          <w:i/>
          <w:vertAlign w:val="subscript"/>
          <w:lang w:val="en-US"/>
        </w:rPr>
        <w:t>dark</w:t>
      </w:r>
      <w:proofErr w:type="spellEnd"/>
      <w:r w:rsidRPr="008B7F94">
        <w:rPr>
          <w:lang w:val="en-US"/>
        </w:rPr>
        <w:t xml:space="preserve"> </w:t>
      </w:r>
      <w:proofErr w:type="spellStart"/>
      <w:r w:rsidRPr="008B7F94">
        <w:rPr>
          <w:lang w:val="en-US"/>
        </w:rPr>
        <w:t>and</w:t>
      </w:r>
      <w:r w:rsidRPr="008B7F94">
        <w:rPr>
          <w:rFonts w:ascii="Symbol" w:hAnsi="Symbol"/>
          <w:i/>
          <w:lang w:val="en-US"/>
        </w:rPr>
        <w:t></w:t>
      </w:r>
      <w:r w:rsidRPr="008B7F94">
        <w:rPr>
          <w:i/>
          <w:lang w:val="en-US"/>
        </w:rPr>
        <w:t>b</w:t>
      </w:r>
      <w:r w:rsidRPr="008B7F94">
        <w:rPr>
          <w:i/>
          <w:vertAlign w:val="subscript"/>
          <w:lang w:val="en-US"/>
        </w:rPr>
        <w:t>l</w:t>
      </w:r>
      <w:proofErr w:type="spellEnd"/>
      <w:r w:rsidRPr="008B7F94">
        <w:rPr>
          <w:i/>
          <w:lang w:val="en-US"/>
        </w:rPr>
        <w:t>(t)</w:t>
      </w:r>
      <w:r w:rsidRPr="008B7F94">
        <w:rPr>
          <w:lang w:val="en-US"/>
        </w:rPr>
        <w:t xml:space="preserve"> are now expressed as corresponding turnover rates (s</w:t>
      </w:r>
      <w:r w:rsidRPr="008B7F94">
        <w:rPr>
          <w:vertAlign w:val="superscript"/>
          <w:lang w:val="en-US"/>
        </w:rPr>
        <w:t>-1</w:t>
      </w:r>
      <w:r w:rsidRPr="008B7F94">
        <w:rPr>
          <w:lang w:val="en-US"/>
        </w:rPr>
        <w:t xml:space="preserve">).  (Notice that </w:t>
      </w:r>
      <w:proofErr w:type="spellStart"/>
      <w:r w:rsidRPr="008B7F94">
        <w:rPr>
          <w:i/>
          <w:lang w:val="en-US"/>
        </w:rPr>
        <w:t>a</w:t>
      </w:r>
      <w:r w:rsidRPr="008B7F94">
        <w:rPr>
          <w:i/>
          <w:vertAlign w:val="subscript"/>
          <w:lang w:val="en-US"/>
        </w:rPr>
        <w:t>dark</w:t>
      </w:r>
      <w:proofErr w:type="spellEnd"/>
      <w:r w:rsidRPr="008B7F94">
        <w:rPr>
          <w:lang w:val="en-US"/>
        </w:rPr>
        <w:t xml:space="preserve"> = </w:t>
      </w:r>
      <w:r w:rsidRPr="008B7F94">
        <w:rPr>
          <w:rFonts w:ascii="Symbol" w:hAnsi="Symbol"/>
          <w:i/>
          <w:lang w:val="en-US"/>
        </w:rPr>
        <w:t></w:t>
      </w:r>
      <w:r w:rsidRPr="008B7F94">
        <w:rPr>
          <w:i/>
          <w:vertAlign w:val="subscript"/>
          <w:lang w:val="en-US"/>
        </w:rPr>
        <w:t>dark</w:t>
      </w:r>
      <w:r w:rsidRPr="008B7F94">
        <w:rPr>
          <w:i/>
          <w:lang w:val="en-US"/>
        </w:rPr>
        <w:t>/</w:t>
      </w:r>
      <w:proofErr w:type="spellStart"/>
      <w:r w:rsidRPr="008B7F94">
        <w:rPr>
          <w:i/>
          <w:lang w:val="en-US"/>
        </w:rPr>
        <w:t>cG</w:t>
      </w:r>
      <w:r w:rsidRPr="008B7F94">
        <w:rPr>
          <w:i/>
          <w:vertAlign w:val="subscript"/>
          <w:lang w:val="en-US"/>
        </w:rPr>
        <w:t>dark</w:t>
      </w:r>
      <w:proofErr w:type="spellEnd"/>
      <w:r w:rsidRPr="008B7F94">
        <w:rPr>
          <w:lang w:val="en-US"/>
        </w:rPr>
        <w:t xml:space="preserve"> = </w:t>
      </w:r>
      <w:proofErr w:type="spellStart"/>
      <w:proofErr w:type="gramStart"/>
      <w:r w:rsidRPr="008B7F94">
        <w:rPr>
          <w:i/>
          <w:lang w:val="en-US"/>
        </w:rPr>
        <w:t>T</w:t>
      </w:r>
      <w:r w:rsidRPr="008B7F94">
        <w:rPr>
          <w:i/>
          <w:vertAlign w:val="subscript"/>
          <w:lang w:val="en-US"/>
        </w:rPr>
        <w:t>r</w:t>
      </w:r>
      <w:proofErr w:type="spellEnd"/>
      <w:proofErr w:type="gramEnd"/>
      <w:r w:rsidRPr="008B7F94">
        <w:rPr>
          <w:lang w:val="en-US"/>
        </w:rPr>
        <w:t xml:space="preserve"> is the dark cGMP turnover rate; see also equations (11) – (14) in the main text). </w:t>
      </w:r>
    </w:p>
    <w:p w:rsidR="00D03C79" w:rsidRPr="008B7F94" w:rsidRDefault="00D03C79" w:rsidP="00D03C79">
      <w:pPr>
        <w:spacing w:line="360" w:lineRule="auto"/>
        <w:rPr>
          <w:strike/>
          <w:lang w:val="en-US"/>
        </w:rPr>
      </w:pPr>
      <w:r w:rsidRPr="008B7F94">
        <w:rPr>
          <w:i/>
          <w:lang w:val="en-US"/>
        </w:rPr>
        <w:tab/>
      </w:r>
      <w:r w:rsidRPr="008B7F94">
        <w:rPr>
          <w:lang w:val="en-US"/>
        </w:rPr>
        <w:t xml:space="preserve">Normalized cGMP concentration </w:t>
      </w:r>
      <w:proofErr w:type="gramStart"/>
      <w:r w:rsidRPr="008B7F94">
        <w:rPr>
          <w:i/>
          <w:lang w:val="en-US"/>
        </w:rPr>
        <w:t>c(</w:t>
      </w:r>
      <w:proofErr w:type="gramEnd"/>
      <w:r w:rsidRPr="008B7F94">
        <w:rPr>
          <w:i/>
          <w:lang w:val="en-US"/>
        </w:rPr>
        <w:t>t)</w:t>
      </w:r>
      <w:r w:rsidRPr="008B7F94">
        <w:rPr>
          <w:lang w:val="en-US"/>
        </w:rPr>
        <w:t xml:space="preserve"> can be calculated from the experimental current response as</w:t>
      </w:r>
    </w:p>
    <w:p w:rsidR="00D03C79" w:rsidRPr="008B7F94" w:rsidRDefault="00D03C79" w:rsidP="00D03C79">
      <w:pPr>
        <w:spacing w:line="360" w:lineRule="auto"/>
        <w:rPr>
          <w:lang w:val="en-US"/>
        </w:rPr>
      </w:pPr>
      <w:r w:rsidRPr="008B7F94">
        <w:rPr>
          <w:lang w:val="en-US"/>
        </w:rPr>
        <w:tab/>
      </w:r>
      <w:r w:rsidRPr="008B7F94">
        <w:rPr>
          <w:position w:val="-12"/>
          <w:sz w:val="20"/>
        </w:rPr>
        <w:object w:dxaOrig="2820" w:dyaOrig="600">
          <v:shape id="_x0000_i1055" type="#_x0000_t75" style="width:140.4pt;height:29.85pt" o:ole="" fillcolor="window">
            <v:imagedata r:id="rId71" o:title=""/>
          </v:shape>
          <o:OLEObject Type="Embed" ProgID="Equation.3" ShapeID="_x0000_i1055" DrawAspect="Content" ObjectID="_1487181819" r:id="rId72"/>
        </w:object>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r>
      <w:r w:rsidRPr="008B7F94">
        <w:rPr>
          <w:lang w:val="en-US"/>
        </w:rPr>
        <w:tab/>
        <w:t>(A28)</w:t>
      </w:r>
    </w:p>
    <w:p w:rsidR="00D03C79" w:rsidRPr="008B7F94" w:rsidRDefault="00D03C79" w:rsidP="00D03C79">
      <w:pPr>
        <w:spacing w:line="360" w:lineRule="auto"/>
        <w:rPr>
          <w:lang w:val="en-US"/>
        </w:rPr>
      </w:pPr>
      <w:proofErr w:type="gramStart"/>
      <w:r w:rsidRPr="008B7F94">
        <w:rPr>
          <w:lang w:val="en-US"/>
        </w:rPr>
        <w:lastRenderedPageBreak/>
        <w:t>where</w:t>
      </w:r>
      <w:proofErr w:type="gramEnd"/>
      <w:r w:rsidRPr="008B7F94">
        <w:rPr>
          <w:lang w:val="en-US"/>
        </w:rPr>
        <w:t xml:space="preserve"> </w:t>
      </w:r>
      <w:r w:rsidRPr="008B7F94">
        <w:rPr>
          <w:i/>
          <w:lang w:val="en-US"/>
        </w:rPr>
        <w:t>r(t)/</w:t>
      </w:r>
      <w:proofErr w:type="spellStart"/>
      <w:r w:rsidRPr="008B7F94">
        <w:rPr>
          <w:i/>
          <w:lang w:val="en-US"/>
        </w:rPr>
        <w:t>r</w:t>
      </w:r>
      <w:r w:rsidRPr="008B7F94">
        <w:rPr>
          <w:i/>
          <w:vertAlign w:val="subscript"/>
          <w:lang w:val="en-US"/>
        </w:rPr>
        <w:t>max</w:t>
      </w:r>
      <w:proofErr w:type="spellEnd"/>
      <w:r w:rsidRPr="008B7F94">
        <w:rPr>
          <w:lang w:val="en-US"/>
        </w:rPr>
        <w:t xml:space="preserve"> is the photoresponse normalized to it maximum value (= dark current). Further its time derivative </w:t>
      </w:r>
      <w:proofErr w:type="gramStart"/>
      <w:r w:rsidRPr="008B7F94">
        <w:rPr>
          <w:i/>
          <w:lang w:val="en-US"/>
        </w:rPr>
        <w:t>dc(</w:t>
      </w:r>
      <w:proofErr w:type="gramEnd"/>
      <w:r w:rsidRPr="008B7F94">
        <w:rPr>
          <w:i/>
          <w:lang w:val="en-US"/>
        </w:rPr>
        <w:t>t)/</w:t>
      </w:r>
      <w:proofErr w:type="spellStart"/>
      <w:r w:rsidRPr="008B7F94">
        <w:rPr>
          <w:i/>
          <w:lang w:val="en-US"/>
        </w:rPr>
        <w:t>dt</w:t>
      </w:r>
      <w:proofErr w:type="spellEnd"/>
      <w:r w:rsidRPr="008B7F94">
        <w:rPr>
          <w:i/>
          <w:lang w:val="en-US"/>
        </w:rPr>
        <w:t xml:space="preserve"> </w:t>
      </w:r>
      <w:r w:rsidRPr="008B7F94">
        <w:rPr>
          <w:lang w:val="en-US"/>
        </w:rPr>
        <w:t>can be computed. Since in the Ca</w:t>
      </w:r>
      <w:r w:rsidRPr="008B7F94">
        <w:rPr>
          <w:vertAlign w:val="superscript"/>
          <w:lang w:val="en-US"/>
        </w:rPr>
        <w:t>2+</w:t>
      </w:r>
      <w:r w:rsidRPr="008B7F94">
        <w:rPr>
          <w:lang w:val="en-US"/>
        </w:rPr>
        <w:t xml:space="preserve">-clamping solution </w:t>
      </w:r>
      <w:proofErr w:type="gramStart"/>
      <w:r w:rsidRPr="008B7F94">
        <w:rPr>
          <w:i/>
          <w:lang w:val="en-US"/>
        </w:rPr>
        <w:t>a(</w:t>
      </w:r>
      <w:proofErr w:type="gramEnd"/>
      <w:r w:rsidRPr="008B7F94">
        <w:rPr>
          <w:i/>
          <w:lang w:val="en-US"/>
        </w:rPr>
        <w:t>t)</w:t>
      </w:r>
      <w:r w:rsidRPr="008B7F94">
        <w:rPr>
          <w:lang w:val="en-US"/>
        </w:rPr>
        <w:t xml:space="preserve"> stays constant at its dark value </w:t>
      </w:r>
      <w:r w:rsidRPr="008B7F94">
        <w:rPr>
          <w:position w:val="-28"/>
        </w:rPr>
        <w:object w:dxaOrig="2840" w:dyaOrig="720">
          <v:shape id="_x0000_i1056" type="#_x0000_t75" style="width:142.4pt;height:37pt" o:ole="">
            <v:imagedata r:id="rId73" o:title=""/>
          </v:shape>
          <o:OLEObject Type="Embed" ProgID="Equation.3" ShapeID="_x0000_i1056" DrawAspect="Content" ObjectID="_1487181820" r:id="rId74"/>
        </w:object>
      </w:r>
      <w:r w:rsidRPr="008B7F94">
        <w:rPr>
          <w:lang w:val="en-US"/>
        </w:rPr>
        <w:t>,  one can solve equation (A27)</w:t>
      </w:r>
      <w:r w:rsidRPr="008B7F94">
        <w:rPr>
          <w:i/>
          <w:lang w:val="en-US"/>
        </w:rPr>
        <w:t xml:space="preserve"> </w:t>
      </w:r>
      <w:r w:rsidRPr="008B7F94">
        <w:rPr>
          <w:lang w:val="en-US"/>
        </w:rPr>
        <w:t xml:space="preserve">for </w:t>
      </w:r>
      <w:proofErr w:type="spellStart"/>
      <w:r w:rsidRPr="008B7F94">
        <w:rPr>
          <w:i/>
          <w:lang w:val="en-US"/>
        </w:rPr>
        <w:t>b</w:t>
      </w:r>
      <w:r w:rsidRPr="008B7F94">
        <w:rPr>
          <w:i/>
          <w:vertAlign w:val="subscript"/>
          <w:lang w:val="en-US"/>
        </w:rPr>
        <w:t>l</w:t>
      </w:r>
      <w:proofErr w:type="spellEnd"/>
      <w:r w:rsidRPr="008B7F94">
        <w:rPr>
          <w:i/>
          <w:lang w:val="en-US"/>
        </w:rPr>
        <w:t>(t)</w:t>
      </w:r>
      <w:r w:rsidRPr="008B7F94">
        <w:rPr>
          <w:lang w:val="en-US"/>
        </w:rPr>
        <w:t>:</w:t>
      </w:r>
    </w:p>
    <w:p w:rsidR="00D03C79" w:rsidRPr="008B7F94" w:rsidRDefault="00D03C79" w:rsidP="00D03C79">
      <w:pPr>
        <w:spacing w:line="360" w:lineRule="auto"/>
        <w:rPr>
          <w:lang w:val="en-US"/>
        </w:rPr>
      </w:pPr>
      <w:r w:rsidRPr="008B7F94">
        <w:rPr>
          <w:position w:val="-32"/>
        </w:rPr>
        <w:object w:dxaOrig="5760" w:dyaOrig="780">
          <v:shape id="_x0000_i1057" type="#_x0000_t75" style="width:4in;height:38.6pt" o:ole="">
            <v:imagedata r:id="rId75" o:title=""/>
          </v:shape>
          <o:OLEObject Type="Embed" ProgID="Equation.3" ShapeID="_x0000_i1057" DrawAspect="Content" ObjectID="_1487181821" r:id="rId76"/>
        </w:object>
      </w:r>
      <w:r w:rsidRPr="008B7F94">
        <w:rPr>
          <w:lang w:val="en-US"/>
        </w:rPr>
        <w:tab/>
      </w:r>
      <w:r w:rsidRPr="008B7F94">
        <w:rPr>
          <w:lang w:val="en-US"/>
        </w:rPr>
        <w:tab/>
      </w:r>
      <w:r w:rsidRPr="008B7F94">
        <w:rPr>
          <w:lang w:val="en-US"/>
        </w:rPr>
        <w:tab/>
        <w:t>(A29).</w:t>
      </w:r>
    </w:p>
    <w:p w:rsidR="00D03C79" w:rsidRPr="008B7F94" w:rsidRDefault="00D03C79" w:rsidP="00D03C79">
      <w:pPr>
        <w:spacing w:line="360" w:lineRule="auto"/>
        <w:rPr>
          <w:lang w:val="en-US"/>
        </w:rPr>
      </w:pPr>
    </w:p>
    <w:p w:rsidR="00D03C79" w:rsidRPr="008B7F94" w:rsidRDefault="00D03C79" w:rsidP="00D03C79">
      <w:pPr>
        <w:spacing w:line="360" w:lineRule="auto"/>
        <w:rPr>
          <w:lang w:val="en-US"/>
        </w:rPr>
      </w:pPr>
      <w:r w:rsidRPr="008B7F94">
        <w:rPr>
          <w:lang w:val="en-US"/>
        </w:rPr>
        <w:t>A simplified version of equation (A29) for the linear case (</w:t>
      </w:r>
      <w:proofErr w:type="spellStart"/>
      <w:r w:rsidRPr="008B7F94">
        <w:rPr>
          <w:i/>
          <w:lang w:val="en-US"/>
        </w:rPr>
        <w:t>cG</w:t>
      </w:r>
      <w:r w:rsidRPr="008B7F94">
        <w:rPr>
          <w:i/>
          <w:vertAlign w:val="subscript"/>
          <w:lang w:val="en-US"/>
        </w:rPr>
        <w:t>dark</w:t>
      </w:r>
      <w:proofErr w:type="spellEnd"/>
      <w:r w:rsidRPr="008B7F94">
        <w:rPr>
          <w:lang w:val="en-US"/>
        </w:rPr>
        <w:t xml:space="preserve"> &lt;&lt; </w:t>
      </w:r>
      <w:r w:rsidRPr="008B7F94">
        <w:rPr>
          <w:i/>
          <w:lang w:val="en-US"/>
        </w:rPr>
        <w:t>K</w:t>
      </w:r>
      <w:r w:rsidRPr="008B7F94">
        <w:rPr>
          <w:i/>
          <w:vertAlign w:val="subscript"/>
          <w:lang w:val="en-US"/>
        </w:rPr>
        <w:t>M</w:t>
      </w:r>
      <w:r w:rsidRPr="008B7F94">
        <w:rPr>
          <w:lang w:val="en-US"/>
        </w:rPr>
        <w:t xml:space="preserve">) has been derived earlier </w:t>
      </w:r>
      <w:r w:rsidR="00D265CD" w:rsidRPr="008B7F94">
        <w:rPr>
          <w:lang w:val="en-US"/>
        </w:rPr>
        <w:t>[22, 37, 39]</w:t>
      </w:r>
      <w:r w:rsidR="005B36E3" w:rsidRPr="008B7F94">
        <w:rPr>
          <w:lang w:val="en-US"/>
        </w:rPr>
        <w:t>.</w:t>
      </w:r>
    </w:p>
    <w:p w:rsidR="00D03C79" w:rsidRDefault="00D03C79" w:rsidP="00D03C79">
      <w:pPr>
        <w:spacing w:line="360" w:lineRule="auto"/>
        <w:rPr>
          <w:lang w:val="en-US"/>
        </w:rPr>
      </w:pPr>
      <w:r w:rsidRPr="008B7F94">
        <w:rPr>
          <w:lang w:val="en-US"/>
        </w:rPr>
        <w:tab/>
        <w:t xml:space="preserve">For computing </w:t>
      </w:r>
      <w:proofErr w:type="spellStart"/>
      <w:r w:rsidRPr="008B7F94">
        <w:rPr>
          <w:i/>
          <w:lang w:val="en-US"/>
        </w:rPr>
        <w:t>b</w:t>
      </w:r>
      <w:r w:rsidRPr="008B7F94">
        <w:rPr>
          <w:i/>
          <w:vertAlign w:val="subscript"/>
          <w:lang w:val="en-US"/>
        </w:rPr>
        <w:t>l</w:t>
      </w:r>
      <w:proofErr w:type="spellEnd"/>
      <w:r w:rsidRPr="008B7F94">
        <w:rPr>
          <w:i/>
          <w:vertAlign w:val="subscript"/>
          <w:lang w:val="en-US"/>
        </w:rPr>
        <w:t xml:space="preserve"> </w:t>
      </w:r>
      <w:r w:rsidRPr="008B7F94">
        <w:rPr>
          <w:i/>
          <w:lang w:val="en-US"/>
        </w:rPr>
        <w:t>(t)</w:t>
      </w:r>
      <w:r w:rsidRPr="008B7F94">
        <w:rPr>
          <w:lang w:val="en-US"/>
        </w:rPr>
        <w:t xml:space="preserve">, one needs to know </w:t>
      </w:r>
      <w:proofErr w:type="spellStart"/>
      <w:r w:rsidRPr="008B7F94">
        <w:rPr>
          <w:i/>
          <w:lang w:val="en-US"/>
        </w:rPr>
        <w:t>a</w:t>
      </w:r>
      <w:r w:rsidRPr="008B7F94">
        <w:rPr>
          <w:i/>
          <w:vertAlign w:val="subscript"/>
          <w:lang w:val="en-US"/>
        </w:rPr>
        <w:t>dark</w:t>
      </w:r>
      <w:proofErr w:type="spellEnd"/>
      <w:r w:rsidRPr="008B7F94">
        <w:rPr>
          <w:i/>
          <w:lang w:val="en-US"/>
        </w:rPr>
        <w:t xml:space="preserve"> </w:t>
      </w:r>
      <w:r w:rsidRPr="008B7F94">
        <w:rPr>
          <w:lang w:val="en-US"/>
        </w:rPr>
        <w:t>(or</w:t>
      </w:r>
      <w:r w:rsidRPr="008B7F94">
        <w:rPr>
          <w:i/>
          <w:lang w:val="en-US"/>
        </w:rPr>
        <w:t xml:space="preserve"> </w:t>
      </w:r>
      <w:proofErr w:type="spellStart"/>
      <w:r w:rsidRPr="008B7F94">
        <w:rPr>
          <w:i/>
          <w:lang w:val="en-US"/>
        </w:rPr>
        <w:t>b</w:t>
      </w:r>
      <w:r w:rsidRPr="008B7F94">
        <w:rPr>
          <w:i/>
          <w:vertAlign w:val="subscript"/>
          <w:lang w:val="en-US"/>
        </w:rPr>
        <w:t>dark</w:t>
      </w:r>
      <w:proofErr w:type="spellEnd"/>
      <w:r w:rsidRPr="008B7F94">
        <w:rPr>
          <w:lang w:val="en-US"/>
        </w:rPr>
        <w:t>) which itself is an important factor that affects the speed and sensitivity of the photoresponse [</w:t>
      </w:r>
      <w:r w:rsidR="00B5019C" w:rsidRPr="008B7F94">
        <w:rPr>
          <w:lang w:val="en-US"/>
        </w:rPr>
        <w:t>9, 13</w:t>
      </w:r>
      <w:r w:rsidRPr="008B7F94">
        <w:rPr>
          <w:lang w:val="en-US"/>
        </w:rPr>
        <w:t>]. Fortunately, Ca</w:t>
      </w:r>
      <w:r w:rsidRPr="008B7F94">
        <w:rPr>
          <w:vertAlign w:val="superscript"/>
          <w:lang w:val="en-US"/>
        </w:rPr>
        <w:t>2+</w:t>
      </w:r>
      <w:r w:rsidRPr="008B7F94">
        <w:rPr>
          <w:lang w:val="en-US"/>
        </w:rPr>
        <w:t xml:space="preserve">-clamp data allow setting the lower limit for it. Assuming too low value for </w:t>
      </w:r>
      <w:proofErr w:type="spellStart"/>
      <w:r w:rsidRPr="008B7F94">
        <w:rPr>
          <w:i/>
          <w:lang w:val="en-US"/>
        </w:rPr>
        <w:t>a</w:t>
      </w:r>
      <w:r w:rsidRPr="008B7F94">
        <w:rPr>
          <w:i/>
          <w:vertAlign w:val="subscript"/>
          <w:lang w:val="en-US"/>
        </w:rPr>
        <w:t>dark</w:t>
      </w:r>
      <w:proofErr w:type="spellEnd"/>
      <w:r w:rsidRPr="008B7F94">
        <w:rPr>
          <w:lang w:val="en-US"/>
        </w:rPr>
        <w:t xml:space="preserve"> yields a </w:t>
      </w:r>
      <w:r w:rsidRPr="008B7F94">
        <w:rPr>
          <w:i/>
          <w:lang w:val="en-US"/>
        </w:rPr>
        <w:t>b</w:t>
      </w:r>
      <w:r w:rsidRPr="008B7F94">
        <w:rPr>
          <w:i/>
          <w:vertAlign w:val="subscript"/>
          <w:lang w:val="en-US"/>
        </w:rPr>
        <w:t xml:space="preserve"> l</w:t>
      </w:r>
      <w:r w:rsidRPr="008B7F94">
        <w:rPr>
          <w:i/>
          <w:lang w:val="en-US"/>
        </w:rPr>
        <w:t xml:space="preserve"> (t)</w:t>
      </w:r>
      <w:r w:rsidRPr="008B7F94">
        <w:rPr>
          <w:lang w:val="en-US"/>
        </w:rPr>
        <w:t xml:space="preserve"> curv</w:t>
      </w:r>
      <w:r w:rsidR="006962AA">
        <w:rPr>
          <w:lang w:val="en-US"/>
        </w:rPr>
        <w:t>e with an undershoot (Figure A5</w:t>
      </w:r>
      <w:r w:rsidRPr="008B7F94">
        <w:rPr>
          <w:lang w:val="en-US"/>
        </w:rPr>
        <w:t xml:space="preserve">A, red line) which cannot be justified within the present scheme of PDE activation and quenching. Minimum </w:t>
      </w:r>
      <w:proofErr w:type="spellStart"/>
      <w:r w:rsidRPr="008B7F94">
        <w:rPr>
          <w:i/>
          <w:lang w:val="en-US"/>
        </w:rPr>
        <w:t>a</w:t>
      </w:r>
      <w:r w:rsidRPr="008B7F94">
        <w:rPr>
          <w:i/>
          <w:vertAlign w:val="subscript"/>
          <w:lang w:val="en-US"/>
        </w:rPr>
        <w:t>dark</w:t>
      </w:r>
      <w:proofErr w:type="spellEnd"/>
      <w:r w:rsidRPr="008B7F94">
        <w:rPr>
          <w:lang w:val="en-US"/>
        </w:rPr>
        <w:t xml:space="preserve"> = </w:t>
      </w:r>
      <w:r w:rsidRPr="008B7F94">
        <w:rPr>
          <w:rFonts w:ascii="Symbol" w:hAnsi="Symbol"/>
          <w:i/>
          <w:lang w:val="en-US"/>
        </w:rPr>
        <w:t></w:t>
      </w:r>
      <w:r w:rsidRPr="008B7F94">
        <w:rPr>
          <w:i/>
          <w:vertAlign w:val="subscript"/>
          <w:lang w:val="en-US"/>
        </w:rPr>
        <w:t>dark</w:t>
      </w:r>
      <w:r w:rsidRPr="008B7F94">
        <w:rPr>
          <w:i/>
          <w:lang w:val="en-US"/>
        </w:rPr>
        <w:t>/</w:t>
      </w:r>
      <w:proofErr w:type="spellStart"/>
      <w:r w:rsidRPr="008B7F94">
        <w:rPr>
          <w:i/>
          <w:lang w:val="en-US"/>
        </w:rPr>
        <w:t>cG</w:t>
      </w:r>
      <w:r w:rsidRPr="008B7F94">
        <w:rPr>
          <w:i/>
          <w:vertAlign w:val="subscript"/>
          <w:lang w:val="en-US"/>
        </w:rPr>
        <w:t>dark</w:t>
      </w:r>
      <w:proofErr w:type="spellEnd"/>
      <w:r w:rsidRPr="008B7F94">
        <w:rPr>
          <w:lang w:val="en-US"/>
        </w:rPr>
        <w:t xml:space="preserve"> value that eliminates </w:t>
      </w:r>
      <w:proofErr w:type="gramStart"/>
      <w:r w:rsidRPr="008B7F94">
        <w:rPr>
          <w:lang w:val="en-US"/>
        </w:rPr>
        <w:t>the undershoot</w:t>
      </w:r>
      <w:proofErr w:type="gramEnd"/>
      <w:r w:rsidRPr="008B7F94">
        <w:rPr>
          <w:lang w:val="en-US"/>
        </w:rPr>
        <w:t xml:space="preserve"> is ≈ 10 s</w:t>
      </w:r>
      <w:r w:rsidRPr="008B7F94">
        <w:rPr>
          <w:vertAlign w:val="superscript"/>
          <w:lang w:val="en-US"/>
        </w:rPr>
        <w:t>-1</w:t>
      </w:r>
      <w:r w:rsidR="006962AA">
        <w:rPr>
          <w:lang w:val="en-US"/>
        </w:rPr>
        <w:t xml:space="preserve"> (Figure A5</w:t>
      </w:r>
      <w:r w:rsidRPr="008B7F94">
        <w:rPr>
          <w:lang w:val="en-US"/>
        </w:rPr>
        <w:t xml:space="preserve">A, black line). We accept this as an initial estimate of the cGMP dark turnover rate in cones. </w:t>
      </w:r>
    </w:p>
    <w:p w:rsidR="006962AA" w:rsidRPr="008B7F94" w:rsidRDefault="006962AA" w:rsidP="00D03C79">
      <w:pPr>
        <w:spacing w:line="360" w:lineRule="auto"/>
        <w:rPr>
          <w:lang w:val="en-US"/>
        </w:rPr>
      </w:pPr>
    </w:p>
    <w:p w:rsidR="00D03C79" w:rsidRPr="008B7F94" w:rsidRDefault="00D03C79" w:rsidP="00D03C79">
      <w:pPr>
        <w:spacing w:line="360" w:lineRule="auto"/>
        <w:rPr>
          <w:lang w:val="en-US"/>
        </w:rPr>
      </w:pPr>
    </w:p>
    <w:p w:rsidR="00D03C79" w:rsidRDefault="00077F33" w:rsidP="00D03C79">
      <w:pPr>
        <w:spacing w:line="360" w:lineRule="auto"/>
        <w:rPr>
          <w:lang w:val="en-US"/>
        </w:rPr>
      </w:pPr>
      <w:r w:rsidRPr="008B7F94">
        <w:rPr>
          <w:noProof/>
          <w:lang w:eastAsia="ru-RU"/>
        </w:rPr>
        <w:drawing>
          <wp:inline distT="0" distB="0" distL="0" distR="0">
            <wp:extent cx="5294688" cy="4076910"/>
            <wp:effectExtent l="19050" t="0" r="1212" b="0"/>
            <wp:docPr id="5" name="Рисунок 4" descr="figure_A5rev.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A5rev.tif"/>
                    <pic:cNvPicPr/>
                  </pic:nvPicPr>
                  <pic:blipFill>
                    <a:blip r:embed="rId77" cstate="print"/>
                    <a:stretch>
                      <a:fillRect/>
                    </a:stretch>
                  </pic:blipFill>
                  <pic:spPr>
                    <a:xfrm>
                      <a:off x="0" y="0"/>
                      <a:ext cx="5296294" cy="4078146"/>
                    </a:xfrm>
                    <a:prstGeom prst="rect">
                      <a:avLst/>
                    </a:prstGeom>
                  </pic:spPr>
                </pic:pic>
              </a:graphicData>
            </a:graphic>
          </wp:inline>
        </w:drawing>
      </w:r>
    </w:p>
    <w:p w:rsidR="0075029F" w:rsidRPr="008B7F94" w:rsidRDefault="0075029F" w:rsidP="0075029F">
      <w:pPr>
        <w:autoSpaceDE w:val="0"/>
        <w:autoSpaceDN w:val="0"/>
        <w:adjustRightInd w:val="0"/>
        <w:spacing w:line="276" w:lineRule="auto"/>
        <w:rPr>
          <w:lang w:val="en-US"/>
        </w:rPr>
      </w:pPr>
      <w:r w:rsidRPr="008B7F94">
        <w:rPr>
          <w:lang w:val="en-US"/>
        </w:rPr>
        <w:lastRenderedPageBreak/>
        <w:t xml:space="preserve">Figure A5. Extracting the parameters of PDE activation and quenching from </w:t>
      </w:r>
      <w:r w:rsidRPr="008B7F94">
        <w:rPr>
          <w:noProof/>
          <w:lang w:val="en-US" w:eastAsia="ru-RU"/>
        </w:rPr>
        <w:t>Ca</w:t>
      </w:r>
      <w:r w:rsidRPr="008B7F94">
        <w:rPr>
          <w:noProof/>
          <w:vertAlign w:val="superscript"/>
          <w:lang w:val="en-US" w:eastAsia="ru-RU"/>
        </w:rPr>
        <w:t>2+</w:t>
      </w:r>
      <w:r w:rsidRPr="008B7F94">
        <w:rPr>
          <w:noProof/>
          <w:lang w:val="en-US" w:eastAsia="ru-RU"/>
        </w:rPr>
        <w:t>-clamped responses.</w:t>
      </w:r>
      <w:r w:rsidRPr="008B7F94">
        <w:rPr>
          <w:lang w:val="en-US"/>
        </w:rPr>
        <w:t xml:space="preserve"> A. Time course of the flash-induced PDE activity </w:t>
      </w:r>
      <w:proofErr w:type="spellStart"/>
      <w:proofErr w:type="gramStart"/>
      <w:r w:rsidRPr="008B7F94">
        <w:rPr>
          <w:i/>
          <w:lang w:val="en-US"/>
        </w:rPr>
        <w:t>b</w:t>
      </w:r>
      <w:r w:rsidRPr="008B7F94">
        <w:rPr>
          <w:i/>
          <w:vertAlign w:val="subscript"/>
          <w:lang w:val="en-US"/>
        </w:rPr>
        <w:t>l</w:t>
      </w:r>
      <w:proofErr w:type="spellEnd"/>
      <w:r w:rsidRPr="008B7F94">
        <w:rPr>
          <w:i/>
          <w:lang w:val="en-US"/>
        </w:rPr>
        <w:t>(</w:t>
      </w:r>
      <w:proofErr w:type="gramEnd"/>
      <w:r w:rsidRPr="008B7F94">
        <w:rPr>
          <w:i/>
          <w:lang w:val="en-US"/>
        </w:rPr>
        <w:t>t)</w:t>
      </w:r>
      <w:r w:rsidRPr="008B7F94">
        <w:rPr>
          <w:lang w:val="en-US"/>
        </w:rPr>
        <w:t xml:space="preserve"> (</w:t>
      </w:r>
      <w:r w:rsidRPr="008B7F94">
        <w:rPr>
          <w:rFonts w:ascii="Symbol" w:hAnsi="Symbol"/>
          <w:i/>
          <w:lang w:val="en-US"/>
        </w:rPr>
        <w:t></w:t>
      </w:r>
      <w:r w:rsidRPr="008B7F94">
        <w:rPr>
          <w:i/>
          <w:vertAlign w:val="subscript"/>
          <w:lang w:val="en-US"/>
        </w:rPr>
        <w:t>l</w:t>
      </w:r>
      <w:r w:rsidRPr="008B7F94">
        <w:rPr>
          <w:i/>
          <w:lang w:val="en-US"/>
        </w:rPr>
        <w:t>(t)</w:t>
      </w:r>
      <w:r w:rsidRPr="008B7F94">
        <w:rPr>
          <w:lang w:val="en-US"/>
        </w:rPr>
        <w:t xml:space="preserve"> normalized to dark cGMP concentration, equations (A26 – A29)) derived from a </w:t>
      </w:r>
      <w:r w:rsidRPr="008B7F94">
        <w:rPr>
          <w:noProof/>
          <w:lang w:val="en-US" w:eastAsia="ru-RU"/>
        </w:rPr>
        <w:t>Ca</w:t>
      </w:r>
      <w:r w:rsidRPr="008B7F94">
        <w:rPr>
          <w:noProof/>
          <w:vertAlign w:val="superscript"/>
          <w:lang w:val="en-US" w:eastAsia="ru-RU"/>
        </w:rPr>
        <w:t>2+</w:t>
      </w:r>
      <w:r w:rsidRPr="008B7F94">
        <w:rPr>
          <w:noProof/>
          <w:lang w:val="en-US" w:eastAsia="ru-RU"/>
        </w:rPr>
        <w:t xml:space="preserve">-clamped response of a cone. The curves are Gauss-filtered with 20 ms window. Red line, assumed dark cGMP turnover rate </w:t>
      </w:r>
      <w:r w:rsidRPr="008B7F94">
        <w:rPr>
          <w:rFonts w:ascii="Symbol" w:hAnsi="Symbol"/>
          <w:i/>
          <w:lang w:val="en-US"/>
        </w:rPr>
        <w:t></w:t>
      </w:r>
      <w:r w:rsidRPr="008B7F94">
        <w:rPr>
          <w:i/>
          <w:vertAlign w:val="subscript"/>
          <w:lang w:val="en-US"/>
        </w:rPr>
        <w:t>dark</w:t>
      </w:r>
      <w:r w:rsidRPr="008B7F94">
        <w:rPr>
          <w:i/>
          <w:lang w:val="en-US"/>
        </w:rPr>
        <w:t>/</w:t>
      </w:r>
      <w:proofErr w:type="spellStart"/>
      <w:r w:rsidRPr="008B7F94">
        <w:rPr>
          <w:i/>
          <w:lang w:val="en-US"/>
        </w:rPr>
        <w:t>cG</w:t>
      </w:r>
      <w:r w:rsidRPr="008B7F94">
        <w:rPr>
          <w:i/>
          <w:vertAlign w:val="subscript"/>
          <w:lang w:val="en-US"/>
        </w:rPr>
        <w:t>dark</w:t>
      </w:r>
      <w:proofErr w:type="spellEnd"/>
      <w:r w:rsidRPr="008B7F94">
        <w:rPr>
          <w:noProof/>
          <w:lang w:val="en-US" w:eastAsia="ru-RU"/>
        </w:rPr>
        <w:t xml:space="preserve"> = 2 s</w:t>
      </w:r>
      <w:r w:rsidRPr="008B7F94">
        <w:rPr>
          <w:noProof/>
          <w:vertAlign w:val="superscript"/>
          <w:lang w:val="en-US" w:eastAsia="ru-RU"/>
        </w:rPr>
        <w:t xml:space="preserve">-1 </w:t>
      </w:r>
      <w:r w:rsidRPr="008B7F94">
        <w:rPr>
          <w:noProof/>
          <w:lang w:val="en-US" w:eastAsia="ru-RU"/>
        </w:rPr>
        <w:t xml:space="preserve">is too low that results in the biphasic </w:t>
      </w:r>
      <w:proofErr w:type="spellStart"/>
      <w:proofErr w:type="gramStart"/>
      <w:r w:rsidRPr="008B7F94">
        <w:rPr>
          <w:i/>
          <w:lang w:val="en-US"/>
        </w:rPr>
        <w:t>b</w:t>
      </w:r>
      <w:r w:rsidRPr="008B7F94">
        <w:rPr>
          <w:i/>
          <w:vertAlign w:val="subscript"/>
          <w:lang w:val="en-US"/>
        </w:rPr>
        <w:t>l</w:t>
      </w:r>
      <w:proofErr w:type="spellEnd"/>
      <w:r w:rsidRPr="008B7F94">
        <w:rPr>
          <w:i/>
          <w:lang w:val="en-US"/>
        </w:rPr>
        <w:t>(</w:t>
      </w:r>
      <w:proofErr w:type="gramEnd"/>
      <w:r w:rsidRPr="008B7F94">
        <w:rPr>
          <w:i/>
          <w:lang w:val="en-US"/>
        </w:rPr>
        <w:t>t)</w:t>
      </w:r>
      <w:r w:rsidRPr="008B7F94">
        <w:rPr>
          <w:lang w:val="en-US"/>
        </w:rPr>
        <w:t xml:space="preserve"> </w:t>
      </w:r>
      <w:r w:rsidRPr="008B7F94">
        <w:rPr>
          <w:noProof/>
          <w:lang w:val="en-US" w:eastAsia="ru-RU"/>
        </w:rPr>
        <w:t xml:space="preserve"> curve with undershoot.  Black line corresponds to </w:t>
      </w:r>
      <w:r w:rsidRPr="008B7F94">
        <w:rPr>
          <w:rFonts w:ascii="Symbol" w:hAnsi="Symbol"/>
          <w:i/>
          <w:lang w:val="en-US"/>
        </w:rPr>
        <w:t></w:t>
      </w:r>
      <w:r w:rsidRPr="008B7F94">
        <w:rPr>
          <w:i/>
          <w:vertAlign w:val="subscript"/>
          <w:lang w:val="en-US"/>
        </w:rPr>
        <w:t>dark</w:t>
      </w:r>
      <w:r w:rsidRPr="008B7F94">
        <w:rPr>
          <w:i/>
          <w:lang w:val="en-US"/>
        </w:rPr>
        <w:t>/</w:t>
      </w:r>
      <w:proofErr w:type="spellStart"/>
      <w:r w:rsidRPr="008B7F94">
        <w:rPr>
          <w:i/>
          <w:lang w:val="en-US"/>
        </w:rPr>
        <w:t>cG</w:t>
      </w:r>
      <w:r w:rsidRPr="008B7F94">
        <w:rPr>
          <w:i/>
          <w:vertAlign w:val="subscript"/>
          <w:lang w:val="en-US"/>
        </w:rPr>
        <w:t>dark</w:t>
      </w:r>
      <w:proofErr w:type="spellEnd"/>
      <w:r w:rsidRPr="008B7F94">
        <w:rPr>
          <w:noProof/>
          <w:lang w:val="en-US" w:eastAsia="ru-RU"/>
        </w:rPr>
        <w:t xml:space="preserve"> = 10 s</w:t>
      </w:r>
      <w:r w:rsidRPr="008B7F94">
        <w:rPr>
          <w:noProof/>
          <w:vertAlign w:val="superscript"/>
          <w:lang w:val="en-US" w:eastAsia="ru-RU"/>
        </w:rPr>
        <w:t>-1</w:t>
      </w:r>
      <w:r w:rsidRPr="008B7F94">
        <w:rPr>
          <w:noProof/>
          <w:lang w:val="en-US" w:eastAsia="ru-RU"/>
        </w:rPr>
        <w:t xml:space="preserve">, the minimum value that eliminates the undershoot; the value is further accepted as a lower estimate of the dark turnover rate. B, kinetics of </w:t>
      </w:r>
      <w:r w:rsidRPr="008B7F94">
        <w:rPr>
          <w:i/>
          <w:noProof/>
          <w:lang w:val="en-US" w:eastAsia="ru-RU"/>
        </w:rPr>
        <w:t>R*</w:t>
      </w:r>
      <w:r w:rsidRPr="008B7F94">
        <w:rPr>
          <w:noProof/>
          <w:lang w:val="en-US" w:eastAsia="ru-RU"/>
        </w:rPr>
        <w:t xml:space="preserve"> and </w:t>
      </w:r>
      <w:r w:rsidRPr="008B7F94">
        <w:rPr>
          <w:i/>
          <w:noProof/>
          <w:lang w:val="en-US" w:eastAsia="ru-RU"/>
        </w:rPr>
        <w:t>PDE*</w:t>
      </w:r>
      <w:r w:rsidRPr="008B7F94">
        <w:rPr>
          <w:noProof/>
          <w:lang w:val="en-US" w:eastAsia="ru-RU"/>
        </w:rPr>
        <w:t xml:space="preserve"> turnoffs. Symbols with error bars show average </w:t>
      </w:r>
      <w:proofErr w:type="spellStart"/>
      <w:proofErr w:type="gramStart"/>
      <w:r w:rsidRPr="008B7F94">
        <w:rPr>
          <w:i/>
          <w:lang w:val="en-US"/>
        </w:rPr>
        <w:t>b</w:t>
      </w:r>
      <w:r w:rsidRPr="008B7F94">
        <w:rPr>
          <w:i/>
          <w:vertAlign w:val="subscript"/>
          <w:lang w:val="en-US"/>
        </w:rPr>
        <w:t>l</w:t>
      </w:r>
      <w:proofErr w:type="spellEnd"/>
      <w:r w:rsidRPr="008B7F94">
        <w:rPr>
          <w:i/>
          <w:lang w:val="en-US"/>
        </w:rPr>
        <w:t>(</w:t>
      </w:r>
      <w:proofErr w:type="gramEnd"/>
      <w:r w:rsidRPr="008B7F94">
        <w:rPr>
          <w:i/>
          <w:lang w:val="en-US"/>
        </w:rPr>
        <w:t>t)</w:t>
      </w:r>
      <w:r w:rsidRPr="008B7F94">
        <w:rPr>
          <w:lang w:val="en-US"/>
        </w:rPr>
        <w:t xml:space="preserve"> ± SEM (6 cells, data normalized to peak prior averaging).      Smooth line is the least-square approximation of the average with equation (15) in the main text</w:t>
      </w:r>
      <w:r w:rsidRPr="008B7F94">
        <w:rPr>
          <w:i/>
          <w:lang w:val="en-US"/>
        </w:rPr>
        <w:t xml:space="preserve">. </w:t>
      </w:r>
      <w:r w:rsidRPr="008B7F94">
        <w:rPr>
          <w:lang w:val="en-US"/>
        </w:rPr>
        <w:t xml:space="preserve">The time constants are </w:t>
      </w:r>
      <w:r w:rsidRPr="008B7F94">
        <w:rPr>
          <w:rFonts w:ascii="Symbol" w:hAnsi="Symbol"/>
          <w:i/>
          <w:lang w:val="en-US"/>
        </w:rPr>
        <w:t></w:t>
      </w:r>
      <w:r w:rsidRPr="008B7F94">
        <w:rPr>
          <w:i/>
          <w:vertAlign w:val="subscript"/>
          <w:lang w:val="en-US"/>
        </w:rPr>
        <w:t>1</w:t>
      </w:r>
      <w:r w:rsidRPr="008B7F94">
        <w:rPr>
          <w:lang w:val="en-US"/>
        </w:rPr>
        <w:t xml:space="preserve"> = 84 ms, and </w:t>
      </w:r>
      <w:r w:rsidRPr="008B7F94">
        <w:rPr>
          <w:rFonts w:ascii="Symbol" w:hAnsi="Symbol"/>
          <w:i/>
          <w:lang w:val="en-US"/>
        </w:rPr>
        <w:t></w:t>
      </w:r>
      <w:r w:rsidRPr="008B7F94">
        <w:rPr>
          <w:i/>
          <w:vertAlign w:val="subscript"/>
          <w:lang w:val="en-US"/>
        </w:rPr>
        <w:t>2</w:t>
      </w:r>
      <w:r w:rsidRPr="008B7F94">
        <w:rPr>
          <w:lang w:val="en-US"/>
        </w:rPr>
        <w:t xml:space="preserve"> = 81 ms that we accept as estimates of the time constants of </w:t>
      </w:r>
      <w:r w:rsidRPr="008B7F94">
        <w:rPr>
          <w:i/>
          <w:noProof/>
          <w:lang w:val="en-US" w:eastAsia="ru-RU"/>
        </w:rPr>
        <w:t>R*</w:t>
      </w:r>
      <w:r w:rsidRPr="008B7F94">
        <w:rPr>
          <w:noProof/>
          <w:lang w:val="en-US" w:eastAsia="ru-RU"/>
        </w:rPr>
        <w:t xml:space="preserve"> and </w:t>
      </w:r>
      <w:r w:rsidRPr="008B7F94">
        <w:rPr>
          <w:i/>
          <w:noProof/>
          <w:lang w:val="en-US" w:eastAsia="ru-RU"/>
        </w:rPr>
        <w:t>PDE*</w:t>
      </w:r>
      <w:r w:rsidRPr="008B7F94">
        <w:rPr>
          <w:noProof/>
          <w:lang w:val="en-US" w:eastAsia="ru-RU"/>
        </w:rPr>
        <w:t xml:space="preserve"> quenching</w:t>
      </w:r>
      <w:r w:rsidRPr="008B7F94">
        <w:rPr>
          <w:lang w:val="en-US"/>
        </w:rPr>
        <w:t>.</w:t>
      </w:r>
    </w:p>
    <w:p w:rsidR="0075029F" w:rsidRDefault="0075029F" w:rsidP="00D03C79">
      <w:pPr>
        <w:spacing w:line="360" w:lineRule="auto"/>
        <w:rPr>
          <w:lang w:val="en-US"/>
        </w:rPr>
      </w:pPr>
    </w:p>
    <w:p w:rsidR="0075029F" w:rsidRDefault="0075029F" w:rsidP="00D03C79">
      <w:pPr>
        <w:spacing w:line="360" w:lineRule="auto"/>
        <w:rPr>
          <w:lang w:val="en-US"/>
        </w:rPr>
      </w:pPr>
      <w:r>
        <w:rPr>
          <w:lang w:val="en-US"/>
        </w:rPr>
        <w:tab/>
      </w:r>
      <w:r w:rsidRPr="008B7F94">
        <w:rPr>
          <w:lang w:val="en-US"/>
        </w:rPr>
        <w:t xml:space="preserve">Figure A5B shows normalized and averaged time courses of the flash-induced PDE activity </w:t>
      </w:r>
      <w:proofErr w:type="spellStart"/>
      <w:proofErr w:type="gramStart"/>
      <w:r w:rsidRPr="008B7F94">
        <w:rPr>
          <w:i/>
          <w:lang w:val="en-US"/>
        </w:rPr>
        <w:t>b</w:t>
      </w:r>
      <w:r w:rsidRPr="008B7F94">
        <w:rPr>
          <w:i/>
          <w:vertAlign w:val="subscript"/>
          <w:lang w:val="en-US"/>
        </w:rPr>
        <w:t>l</w:t>
      </w:r>
      <w:proofErr w:type="spellEnd"/>
      <w:r w:rsidRPr="008B7F94">
        <w:rPr>
          <w:i/>
          <w:lang w:val="en-US"/>
        </w:rPr>
        <w:t>(</w:t>
      </w:r>
      <w:proofErr w:type="gramEnd"/>
      <w:r w:rsidRPr="008B7F94">
        <w:rPr>
          <w:i/>
          <w:lang w:val="en-US"/>
        </w:rPr>
        <w:t>t)</w:t>
      </w:r>
      <w:r w:rsidRPr="008B7F94">
        <w:rPr>
          <w:lang w:val="en-US"/>
        </w:rPr>
        <w:t>. It can be approximated by a difference of two exponentials (equation (15) in the main text). Time constant of one of them corresponds to the time constant of R* quenching; the second exponential reflects T/PDE* turnoff. Both the time constants are close to 80 ms which we further use as initial values of 1/</w:t>
      </w:r>
      <w:proofErr w:type="spellStart"/>
      <w:r w:rsidRPr="008B7F94">
        <w:rPr>
          <w:i/>
          <w:lang w:val="en-US"/>
        </w:rPr>
        <w:t>k</w:t>
      </w:r>
      <w:r w:rsidRPr="008B7F94">
        <w:rPr>
          <w:i/>
          <w:vertAlign w:val="subscript"/>
          <w:lang w:val="en-US"/>
        </w:rPr>
        <w:t>R</w:t>
      </w:r>
      <w:proofErr w:type="spellEnd"/>
      <w:r w:rsidRPr="008B7F94">
        <w:rPr>
          <w:lang w:val="en-US"/>
        </w:rPr>
        <w:t xml:space="preserve"> and 1/</w:t>
      </w:r>
      <w:proofErr w:type="spellStart"/>
      <w:r w:rsidRPr="008B7F94">
        <w:rPr>
          <w:i/>
          <w:lang w:val="en-US"/>
        </w:rPr>
        <w:t>k</w:t>
      </w:r>
      <w:r w:rsidRPr="008B7F94">
        <w:rPr>
          <w:i/>
          <w:vertAlign w:val="subscript"/>
          <w:lang w:val="en-US"/>
        </w:rPr>
        <w:t>E</w:t>
      </w:r>
      <w:proofErr w:type="spellEnd"/>
      <w:r w:rsidRPr="008B7F94">
        <w:rPr>
          <w:vertAlign w:val="subscript"/>
          <w:lang w:val="en-US"/>
        </w:rPr>
        <w:t xml:space="preserve"> </w:t>
      </w:r>
      <w:r w:rsidRPr="008B7F94">
        <w:rPr>
          <w:lang w:val="en-US"/>
        </w:rPr>
        <w:t>for model fitting.</w:t>
      </w:r>
    </w:p>
    <w:p w:rsidR="00D03C79" w:rsidRPr="008B7F94" w:rsidRDefault="00D03C79" w:rsidP="00D03C79">
      <w:pPr>
        <w:spacing w:line="360" w:lineRule="auto"/>
        <w:rPr>
          <w:lang w:val="en-US"/>
        </w:rPr>
      </w:pPr>
      <w:r w:rsidRPr="008B7F94">
        <w:rPr>
          <w:position w:val="-12"/>
          <w:lang w:val="en-US"/>
        </w:rPr>
        <w:object w:dxaOrig="200" w:dyaOrig="380">
          <v:shape id="_x0000_i1060" type="#_x0000_t75" style="width:9.55pt;height:18.3pt" o:ole="">
            <v:imagedata r:id="rId78" o:title=""/>
          </v:shape>
          <o:OLEObject Type="Embed" ProgID="Equation.3" ShapeID="_x0000_i1060" DrawAspect="Content" ObjectID="_1487181822" r:id="rId79"/>
        </w:object>
      </w:r>
      <w:r w:rsidRPr="008B7F94">
        <w:rPr>
          <w:lang w:val="en-US"/>
        </w:rPr>
        <w:tab/>
      </w:r>
    </w:p>
    <w:p w:rsidR="00D03C79" w:rsidRPr="008B7F94" w:rsidRDefault="00D03C79" w:rsidP="00D03C79">
      <w:pPr>
        <w:spacing w:line="360" w:lineRule="auto"/>
        <w:rPr>
          <w:lang w:val="en-US"/>
        </w:rPr>
      </w:pPr>
      <w:r w:rsidRPr="008B7F94">
        <w:rPr>
          <w:i/>
          <w:lang w:val="en-US"/>
        </w:rPr>
        <w:t xml:space="preserve">Cone’s electrical time constant: </w:t>
      </w:r>
      <w:r w:rsidRPr="008B7F94">
        <w:rPr>
          <w:lang w:val="en-US"/>
        </w:rPr>
        <w:t xml:space="preserve">Experimental estimates of </w:t>
      </w:r>
      <w:r w:rsidRPr="008B7F94">
        <w:rPr>
          <w:rFonts w:ascii="Symbol" w:hAnsi="Symbol"/>
          <w:i/>
          <w:sz w:val="28"/>
          <w:lang w:val="en-US"/>
        </w:rPr>
        <w:t></w:t>
      </w:r>
      <w:r w:rsidRPr="008B7F94">
        <w:rPr>
          <w:i/>
          <w:sz w:val="28"/>
          <w:vertAlign w:val="subscript"/>
          <w:lang w:val="en-US"/>
        </w:rPr>
        <w:t>e</w:t>
      </w:r>
      <w:r w:rsidRPr="008B7F94">
        <w:rPr>
          <w:lang w:val="en-US"/>
        </w:rPr>
        <w:t xml:space="preserve"> in a few types of cones vary between 20 and 85 ms [</w:t>
      </w:r>
      <w:r w:rsidR="00BE35C2" w:rsidRPr="008B7F94">
        <w:rPr>
          <w:lang w:val="en-US"/>
        </w:rPr>
        <w:t xml:space="preserve">4, 5, 40, </w:t>
      </w:r>
      <w:proofErr w:type="gramStart"/>
      <w:r w:rsidR="00BE35C2" w:rsidRPr="008B7F94">
        <w:rPr>
          <w:lang w:val="en-US"/>
        </w:rPr>
        <w:t>4</w:t>
      </w:r>
      <w:r w:rsidR="00D265CD" w:rsidRPr="008B7F94">
        <w:rPr>
          <w:lang w:val="en-US"/>
        </w:rPr>
        <w:t>1</w:t>
      </w:r>
      <w:proofErr w:type="gramEnd"/>
      <w:r w:rsidRPr="008B7F94">
        <w:rPr>
          <w:lang w:val="en-US"/>
        </w:rPr>
        <w:t xml:space="preserve">]. However, no data on </w:t>
      </w:r>
      <w:r w:rsidRPr="008B7F94">
        <w:rPr>
          <w:rFonts w:ascii="Symbol" w:hAnsi="Symbol"/>
          <w:i/>
          <w:sz w:val="28"/>
          <w:lang w:val="en-US"/>
        </w:rPr>
        <w:t></w:t>
      </w:r>
      <w:r w:rsidRPr="008B7F94">
        <w:rPr>
          <w:i/>
          <w:sz w:val="28"/>
          <w:vertAlign w:val="subscript"/>
          <w:lang w:val="en-US"/>
        </w:rPr>
        <w:t>e</w:t>
      </w:r>
      <w:r w:rsidRPr="008B7F94">
        <w:rPr>
          <w:lang w:val="en-US"/>
        </w:rPr>
        <w:t xml:space="preserve"> in the </w:t>
      </w:r>
      <w:r w:rsidRPr="008B7F94">
        <w:rPr>
          <w:i/>
          <w:lang w:val="en-US"/>
        </w:rPr>
        <w:t>Carassius</w:t>
      </w:r>
      <w:r w:rsidRPr="008B7F94">
        <w:rPr>
          <w:lang w:val="en-US"/>
        </w:rPr>
        <w:t xml:space="preserve"> cones are available. The</w:t>
      </w:r>
      <w:r w:rsidRPr="008B7F94">
        <w:rPr>
          <w:rFonts w:ascii="Symbol" w:hAnsi="Symbol"/>
          <w:i/>
          <w:sz w:val="28"/>
          <w:lang w:val="en-US"/>
        </w:rPr>
        <w:t></w:t>
      </w:r>
      <w:r w:rsidRPr="008B7F94">
        <w:rPr>
          <w:rFonts w:ascii="Symbol" w:hAnsi="Symbol"/>
          <w:i/>
          <w:sz w:val="28"/>
          <w:lang w:val="en-US"/>
        </w:rPr>
        <w:t></w:t>
      </w:r>
      <w:r w:rsidRPr="008B7F94">
        <w:rPr>
          <w:i/>
          <w:sz w:val="28"/>
          <w:vertAlign w:val="subscript"/>
          <w:lang w:val="en-US"/>
        </w:rPr>
        <w:t>e</w:t>
      </w:r>
      <w:r w:rsidRPr="008B7F94">
        <w:rPr>
          <w:lang w:val="en-US"/>
        </w:rPr>
        <w:t xml:space="preserve"> could apparently be found from the front of the electrical response to bright flashes that would supposedly cause instantaneous closure of the dark current (save a small slow component due to the exchanger current). Then the </w:t>
      </w:r>
      <w:proofErr w:type="spellStart"/>
      <w:r w:rsidRPr="008B7F94">
        <w:rPr>
          <w:i/>
          <w:lang w:val="en-US"/>
        </w:rPr>
        <w:t>Carssius</w:t>
      </w:r>
      <w:proofErr w:type="spellEnd"/>
      <w:r w:rsidRPr="008B7F94">
        <w:rPr>
          <w:lang w:val="en-US"/>
        </w:rPr>
        <w:t xml:space="preserve"> cones can be roughly divided in two groups. One is exemplified by the responses shown</w:t>
      </w:r>
      <w:r w:rsidRPr="008B7F94">
        <w:rPr>
          <w:b/>
          <w:lang w:val="en-US"/>
        </w:rPr>
        <w:t xml:space="preserve"> </w:t>
      </w:r>
      <w:r w:rsidRPr="0075029F">
        <w:rPr>
          <w:lang w:val="en-US"/>
        </w:rPr>
        <w:t>in</w:t>
      </w:r>
      <w:r w:rsidR="00C51A25" w:rsidRPr="0075029F">
        <w:rPr>
          <w:lang w:val="en-US"/>
        </w:rPr>
        <w:t xml:space="preserve"> the main text</w:t>
      </w:r>
      <w:r w:rsidRPr="008B7F94">
        <w:rPr>
          <w:b/>
          <w:lang w:val="en-US"/>
        </w:rPr>
        <w:t xml:space="preserve"> </w:t>
      </w:r>
      <w:r w:rsidRPr="008B7F94">
        <w:rPr>
          <w:lang w:val="en-US"/>
        </w:rPr>
        <w:t xml:space="preserve">Figure 1B. In this group, the steepness of the front increases with increasing flash intensity until the response amplitude reaches ≈80 % saturation. Time to 63% saturation (a crude estimate of </w:t>
      </w:r>
      <w:r w:rsidRPr="008B7F94">
        <w:rPr>
          <w:rFonts w:ascii="Symbol" w:hAnsi="Symbol"/>
          <w:i/>
          <w:sz w:val="28"/>
          <w:lang w:val="en-US"/>
        </w:rPr>
        <w:t></w:t>
      </w:r>
      <w:r w:rsidRPr="008B7F94">
        <w:rPr>
          <w:i/>
          <w:sz w:val="28"/>
          <w:vertAlign w:val="subscript"/>
          <w:lang w:val="en-US"/>
        </w:rPr>
        <w:t>e</w:t>
      </w:r>
      <w:r w:rsidRPr="008B7F94">
        <w:rPr>
          <w:sz w:val="28"/>
          <w:lang w:val="en-US"/>
        </w:rPr>
        <w:t>)</w:t>
      </w:r>
      <w:r w:rsidRPr="008B7F94">
        <w:rPr>
          <w:lang w:val="en-US"/>
        </w:rPr>
        <w:t xml:space="preserve"> is ≤ 50 </w:t>
      </w:r>
      <w:proofErr w:type="spellStart"/>
      <w:r w:rsidRPr="008B7F94">
        <w:rPr>
          <w:lang w:val="en-US"/>
        </w:rPr>
        <w:t>ms.</w:t>
      </w:r>
      <w:proofErr w:type="spellEnd"/>
      <w:r w:rsidRPr="008B7F94">
        <w:rPr>
          <w:lang w:val="en-US"/>
        </w:rPr>
        <w:t xml:space="preserve"> </w:t>
      </w:r>
      <w:proofErr w:type="gramStart"/>
      <w:r w:rsidRPr="008B7F94">
        <w:rPr>
          <w:lang w:val="en-US"/>
        </w:rPr>
        <w:t>A</w:t>
      </w:r>
      <w:proofErr w:type="gramEnd"/>
      <w:r w:rsidRPr="008B7F94">
        <w:rPr>
          <w:lang w:val="en-US"/>
        </w:rPr>
        <w:t xml:space="preserve"> sample cone from the second group is shown</w:t>
      </w:r>
      <w:r w:rsidR="00C51A25" w:rsidRPr="008B7F94">
        <w:rPr>
          <w:b/>
          <w:lang w:val="en-US"/>
        </w:rPr>
        <w:t xml:space="preserve"> </w:t>
      </w:r>
      <w:r w:rsidR="00C51A25" w:rsidRPr="0075029F">
        <w:rPr>
          <w:lang w:val="en-US"/>
        </w:rPr>
        <w:t>in the main text</w:t>
      </w:r>
      <w:r w:rsidRPr="008B7F94">
        <w:rPr>
          <w:lang w:val="en-US"/>
        </w:rPr>
        <w:t xml:space="preserve"> Figure 1C. In this group, steepness of the front saturates at &lt; 20% amplitude, and the time to 63% saturation may reach 170 </w:t>
      </w:r>
      <w:proofErr w:type="spellStart"/>
      <w:r w:rsidRPr="008B7F94">
        <w:rPr>
          <w:lang w:val="en-US"/>
        </w:rPr>
        <w:t>ms.</w:t>
      </w:r>
      <w:proofErr w:type="spellEnd"/>
      <w:r w:rsidRPr="008B7F94">
        <w:rPr>
          <w:lang w:val="en-US"/>
        </w:rPr>
        <w:t xml:space="preserve">   Responses of this type were observed earlier [</w:t>
      </w:r>
      <w:r w:rsidR="00BE35C2" w:rsidRPr="008B7F94">
        <w:rPr>
          <w:lang w:val="en-US"/>
        </w:rPr>
        <w:t>5, 42-4</w:t>
      </w:r>
      <w:r w:rsidR="005B36E3" w:rsidRPr="008B7F94">
        <w:rPr>
          <w:lang w:val="en-US"/>
        </w:rPr>
        <w:t>4</w:t>
      </w:r>
      <w:r w:rsidRPr="008B7F94">
        <w:rPr>
          <w:lang w:val="en-US"/>
        </w:rPr>
        <w:t>] in suction pipette recordings from fish and salamander cones.  Perry &amp; McNaughton [</w:t>
      </w:r>
      <w:r w:rsidR="00BE35C2" w:rsidRPr="008B7F94">
        <w:rPr>
          <w:lang w:val="en-US"/>
        </w:rPr>
        <w:t>4</w:t>
      </w:r>
      <w:r w:rsidR="005B36E3" w:rsidRPr="008B7F94">
        <w:rPr>
          <w:lang w:val="en-US"/>
        </w:rPr>
        <w:t>1</w:t>
      </w:r>
      <w:r w:rsidRPr="008B7F94">
        <w:rPr>
          <w:lang w:val="en-US"/>
        </w:rPr>
        <w:t xml:space="preserve">] attributed it to a high </w:t>
      </w:r>
      <w:r w:rsidRPr="008B7F94">
        <w:rPr>
          <w:rFonts w:ascii="Symbol" w:hAnsi="Symbol"/>
          <w:i/>
          <w:sz w:val="28"/>
          <w:lang w:val="en-US"/>
        </w:rPr>
        <w:t></w:t>
      </w:r>
      <w:r w:rsidRPr="008B7F94">
        <w:rPr>
          <w:i/>
          <w:sz w:val="28"/>
          <w:vertAlign w:val="subscript"/>
          <w:lang w:val="en-US"/>
        </w:rPr>
        <w:t>e</w:t>
      </w:r>
      <w:r w:rsidRPr="008B7F94">
        <w:rPr>
          <w:lang w:val="en-US"/>
        </w:rPr>
        <w:t xml:space="preserve"> because the responses got significantly faster in whole-cell voltage-clamp mode.</w:t>
      </w:r>
    </w:p>
    <w:p w:rsidR="00D03C79" w:rsidRPr="008B7F94" w:rsidRDefault="00D03C79" w:rsidP="00D03C79">
      <w:pPr>
        <w:spacing w:line="360" w:lineRule="auto"/>
        <w:rPr>
          <w:lang w:val="en-US"/>
        </w:rPr>
      </w:pPr>
      <w:r w:rsidRPr="008B7F94">
        <w:rPr>
          <w:lang w:val="en-US"/>
        </w:rPr>
        <w:tab/>
        <w:t>Surprisingly, we found that the front of the photoresponse to saturating flashes in Ca</w:t>
      </w:r>
      <w:r w:rsidRPr="008B7F94">
        <w:rPr>
          <w:vertAlign w:val="superscript"/>
          <w:lang w:val="en-US"/>
        </w:rPr>
        <w:t>2+</w:t>
      </w:r>
      <w:r w:rsidRPr="008B7F94">
        <w:rPr>
          <w:lang w:val="en-US"/>
        </w:rPr>
        <w:t xml:space="preserve">-clamping solution becomes far steeper than in normal Ringer (Figure A6 A, B). The cause of this effect is completely obscure. It is also unclear whether the rising phase in this condition reflects re-charging the cell’s capacitance or is still shaped by the kinetic of the closure of the CNG </w:t>
      </w:r>
      <w:r w:rsidRPr="008B7F94">
        <w:rPr>
          <w:lang w:val="en-US"/>
        </w:rPr>
        <w:lastRenderedPageBreak/>
        <w:t xml:space="preserve">channels. Nevertheless, the time constant of the rising phase provides an estimate of </w:t>
      </w:r>
      <w:r w:rsidRPr="008B7F94">
        <w:rPr>
          <w:rFonts w:ascii="Symbol" w:hAnsi="Symbol"/>
          <w:i/>
          <w:sz w:val="28"/>
          <w:lang w:val="en-US"/>
        </w:rPr>
        <w:t></w:t>
      </w:r>
      <w:r w:rsidRPr="008B7F94">
        <w:rPr>
          <w:i/>
          <w:sz w:val="28"/>
          <w:vertAlign w:val="subscript"/>
          <w:lang w:val="en-US"/>
        </w:rPr>
        <w:t>e</w:t>
      </w:r>
      <w:r w:rsidRPr="008B7F94">
        <w:rPr>
          <w:lang w:val="en-US"/>
        </w:rPr>
        <w:t>. The average value ≈ 27 ms (Figure A6 B) is within the range reported in literature [</w:t>
      </w:r>
      <w:r w:rsidR="00BE35C2" w:rsidRPr="008B7F94">
        <w:rPr>
          <w:lang w:val="en-US"/>
        </w:rPr>
        <w:t xml:space="preserve">4, 5, 40, </w:t>
      </w:r>
      <w:proofErr w:type="gramStart"/>
      <w:r w:rsidR="00BE35C2" w:rsidRPr="008B7F94">
        <w:rPr>
          <w:lang w:val="en-US"/>
        </w:rPr>
        <w:t>41</w:t>
      </w:r>
      <w:proofErr w:type="gramEnd"/>
      <w:r w:rsidRPr="008B7F94">
        <w:rPr>
          <w:lang w:val="en-US"/>
        </w:rPr>
        <w:t>]</w:t>
      </w:r>
      <w:r w:rsidRPr="008B7F94">
        <w:rPr>
          <w:b/>
          <w:lang w:val="en-US"/>
        </w:rPr>
        <w:t xml:space="preserve"> </w:t>
      </w:r>
      <w:r w:rsidRPr="008B7F94">
        <w:rPr>
          <w:lang w:val="en-US"/>
        </w:rPr>
        <w:t xml:space="preserve">and we accept it for our cones as an initial guess value. Notice, though, that the electrical filtering of the suction current cannot be described by a single RC-circuit (see above). The step function of the real circuitry consists of two exponentials. </w:t>
      </w:r>
      <w:r w:rsidRPr="008B7F94">
        <w:rPr>
          <w:rFonts w:ascii="Symbol" w:hAnsi="Symbol"/>
          <w:i/>
          <w:sz w:val="28"/>
          <w:lang w:val="en-US"/>
        </w:rPr>
        <w:t></w:t>
      </w:r>
      <w:r w:rsidRPr="008B7F94">
        <w:rPr>
          <w:i/>
          <w:sz w:val="28"/>
          <w:vertAlign w:val="subscript"/>
          <w:lang w:val="en-US"/>
        </w:rPr>
        <w:t>e</w:t>
      </w:r>
      <w:r w:rsidRPr="008B7F94">
        <w:rPr>
          <w:lang w:val="en-US"/>
        </w:rPr>
        <w:t xml:space="preserve"> mostly reflects the bigger and slower component.</w:t>
      </w:r>
    </w:p>
    <w:p w:rsidR="00D03C79" w:rsidRPr="008B7F94" w:rsidRDefault="00D03C79" w:rsidP="00D03C79">
      <w:pPr>
        <w:spacing w:line="360" w:lineRule="auto"/>
        <w:rPr>
          <w:lang w:val="en-US"/>
        </w:rPr>
      </w:pPr>
    </w:p>
    <w:p w:rsidR="00D03C79" w:rsidRDefault="00C05A84" w:rsidP="00D03C79">
      <w:pPr>
        <w:spacing w:line="360" w:lineRule="auto"/>
        <w:rPr>
          <w:lang w:val="en-US"/>
        </w:rPr>
      </w:pPr>
      <w:r w:rsidRPr="008B7F94">
        <w:rPr>
          <w:noProof/>
          <w:lang w:eastAsia="ru-RU"/>
        </w:rPr>
        <w:drawing>
          <wp:inline distT="0" distB="0" distL="0" distR="0">
            <wp:extent cx="5940425" cy="3861400"/>
            <wp:effectExtent l="0" t="0" r="0" b="0"/>
            <wp:docPr id="6" name="Рисунок 5" descr="figure_A6rev.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A6rev.tif"/>
                    <pic:cNvPicPr/>
                  </pic:nvPicPr>
                  <pic:blipFill>
                    <a:blip r:embed="rId80" cstate="print"/>
                    <a:stretch>
                      <a:fillRect/>
                    </a:stretch>
                  </pic:blipFill>
                  <pic:spPr>
                    <a:xfrm>
                      <a:off x="0" y="0"/>
                      <a:ext cx="5940425" cy="3861400"/>
                    </a:xfrm>
                    <a:prstGeom prst="rect">
                      <a:avLst/>
                    </a:prstGeom>
                  </pic:spPr>
                </pic:pic>
              </a:graphicData>
            </a:graphic>
          </wp:inline>
        </w:drawing>
      </w:r>
    </w:p>
    <w:p w:rsidR="0075029F" w:rsidRPr="008B7F94" w:rsidRDefault="0075029F" w:rsidP="0075029F">
      <w:pPr>
        <w:autoSpaceDE w:val="0"/>
        <w:autoSpaceDN w:val="0"/>
        <w:adjustRightInd w:val="0"/>
        <w:spacing w:line="276" w:lineRule="auto"/>
        <w:rPr>
          <w:noProof/>
          <w:lang w:val="en-US" w:eastAsia="ru-RU"/>
        </w:rPr>
      </w:pPr>
      <w:r w:rsidRPr="008B7F94">
        <w:rPr>
          <w:lang w:val="en-US"/>
        </w:rPr>
        <w:t xml:space="preserve">Figure A6. </w:t>
      </w:r>
      <w:proofErr w:type="gramStart"/>
      <w:r w:rsidRPr="008B7F94">
        <w:rPr>
          <w:lang w:val="en-US"/>
        </w:rPr>
        <w:t>Estimating cones’ electrical time constant.</w:t>
      </w:r>
      <w:proofErr w:type="gramEnd"/>
      <w:r w:rsidRPr="008B7F94">
        <w:rPr>
          <w:lang w:val="en-US"/>
        </w:rPr>
        <w:t xml:space="preserve"> A, effect of the </w:t>
      </w:r>
      <w:r w:rsidRPr="008B7F94">
        <w:rPr>
          <w:noProof/>
          <w:lang w:val="en-US" w:eastAsia="ru-RU"/>
        </w:rPr>
        <w:t>Ca</w:t>
      </w:r>
      <w:r w:rsidRPr="008B7F94">
        <w:rPr>
          <w:noProof/>
          <w:vertAlign w:val="superscript"/>
          <w:lang w:val="en-US" w:eastAsia="ru-RU"/>
        </w:rPr>
        <w:t>2+</w:t>
      </w:r>
      <w:r w:rsidRPr="008B7F94">
        <w:rPr>
          <w:noProof/>
          <w:lang w:val="en-US" w:eastAsia="ru-RU"/>
        </w:rPr>
        <w:t>-clamping solution on the front of a saturated response recorded from a single cell. Shallow front observed in normal Ringer (thin line) becomes far steeper in the Ca</w:t>
      </w:r>
      <w:r w:rsidRPr="008B7F94">
        <w:rPr>
          <w:noProof/>
          <w:vertAlign w:val="superscript"/>
          <w:lang w:val="en-US" w:eastAsia="ru-RU"/>
        </w:rPr>
        <w:t>2+</w:t>
      </w:r>
      <w:r w:rsidRPr="008B7F94">
        <w:rPr>
          <w:noProof/>
          <w:lang w:val="en-US" w:eastAsia="ru-RU"/>
        </w:rPr>
        <w:t>-clamping solution (heavy line). B, average data. Empty circles, normal Ringer. Filled circles, Ca</w:t>
      </w:r>
      <w:r w:rsidRPr="008B7F94">
        <w:rPr>
          <w:noProof/>
          <w:vertAlign w:val="superscript"/>
          <w:lang w:val="en-US" w:eastAsia="ru-RU"/>
        </w:rPr>
        <w:t>2+</w:t>
      </w:r>
      <w:r w:rsidRPr="008B7F94">
        <w:rPr>
          <w:noProof/>
          <w:lang w:val="en-US" w:eastAsia="ru-RU"/>
        </w:rPr>
        <w:t>-clamping solution. Average of 6 cells ± SEM. Smooth red lines show least-square single-exponential approximations. The value in the Ca</w:t>
      </w:r>
      <w:r w:rsidRPr="008B7F94">
        <w:rPr>
          <w:noProof/>
          <w:vertAlign w:val="superscript"/>
          <w:lang w:val="en-US" w:eastAsia="ru-RU"/>
        </w:rPr>
        <w:t>2+</w:t>
      </w:r>
      <w:r w:rsidRPr="008B7F94">
        <w:rPr>
          <w:noProof/>
          <w:lang w:val="en-US" w:eastAsia="ru-RU"/>
        </w:rPr>
        <w:t xml:space="preserve">-clamping solution, ≈27 ms, is accepted as an initial guess of </w:t>
      </w:r>
      <w:r w:rsidRPr="008B7F94">
        <w:rPr>
          <w:rFonts w:ascii="Symbol" w:hAnsi="Symbol"/>
          <w:i/>
          <w:noProof/>
          <w:lang w:val="en-US" w:eastAsia="ru-RU"/>
        </w:rPr>
        <w:t></w:t>
      </w:r>
      <w:r w:rsidRPr="008B7F94">
        <w:rPr>
          <w:i/>
          <w:noProof/>
          <w:vertAlign w:val="subscript"/>
          <w:lang w:val="en-US" w:eastAsia="ru-RU"/>
        </w:rPr>
        <w:t>e</w:t>
      </w:r>
      <w:r w:rsidRPr="008B7F94">
        <w:rPr>
          <w:noProof/>
          <w:lang w:val="en-US" w:eastAsia="ru-RU"/>
        </w:rPr>
        <w:t>.</w:t>
      </w:r>
    </w:p>
    <w:p w:rsidR="0075029F" w:rsidRPr="008B7F94" w:rsidRDefault="0075029F" w:rsidP="00D03C79">
      <w:pPr>
        <w:spacing w:line="360" w:lineRule="auto"/>
        <w:rPr>
          <w:lang w:val="en-US"/>
        </w:rPr>
      </w:pPr>
    </w:p>
    <w:p w:rsidR="00D03C79" w:rsidRPr="008B7F94" w:rsidRDefault="00D03C79" w:rsidP="00D03C79">
      <w:pPr>
        <w:spacing w:line="360" w:lineRule="auto"/>
        <w:outlineLvl w:val="0"/>
        <w:rPr>
          <w:lang w:val="en-US"/>
        </w:rPr>
      </w:pPr>
      <w:r w:rsidRPr="008B7F94">
        <w:rPr>
          <w:i/>
          <w:lang w:val="en-US"/>
        </w:rPr>
        <w:t xml:space="preserve">Fixed model parameters: </w:t>
      </w:r>
      <w:r w:rsidRPr="008B7F94">
        <w:rPr>
          <w:lang w:val="en-US"/>
        </w:rPr>
        <w:t>Many model parameters are supposed to be invariant molecular properties so can be assigned fixed values, mostly taken from literature. Some others are interrelated and can only be changed in a concerted way. For instance, many phototransduction reactions are Ca</w:t>
      </w:r>
      <w:r w:rsidRPr="008B7F94">
        <w:rPr>
          <w:vertAlign w:val="superscript"/>
          <w:lang w:val="en-US"/>
        </w:rPr>
        <w:t>2+</w:t>
      </w:r>
      <w:r w:rsidRPr="008B7F94">
        <w:rPr>
          <w:lang w:val="en-US"/>
        </w:rPr>
        <w:t>-sensitive. Therefore it is convenient, for the purpose of modeling, to fix the concentration of free Ca</w:t>
      </w:r>
      <w:r w:rsidRPr="008B7F94">
        <w:rPr>
          <w:vertAlign w:val="superscript"/>
          <w:lang w:val="en-US"/>
        </w:rPr>
        <w:t>2+</w:t>
      </w:r>
      <w:r w:rsidRPr="008B7F94">
        <w:rPr>
          <w:lang w:val="en-US"/>
        </w:rPr>
        <w:t xml:space="preserve"> in darkness (</w:t>
      </w:r>
      <w:proofErr w:type="spellStart"/>
      <w:r w:rsidRPr="008B7F94">
        <w:rPr>
          <w:i/>
          <w:lang w:val="en-US"/>
        </w:rPr>
        <w:t>Ca</w:t>
      </w:r>
      <w:r w:rsidRPr="008B7F94">
        <w:rPr>
          <w:i/>
          <w:vertAlign w:val="subscript"/>
          <w:lang w:val="en-US"/>
        </w:rPr>
        <w:t>dark</w:t>
      </w:r>
      <w:proofErr w:type="spellEnd"/>
      <w:r w:rsidRPr="008B7F94">
        <w:rPr>
          <w:lang w:val="en-US"/>
        </w:rPr>
        <w:t>). Then parameters of individual calcium regulations can be changed independently without exerting effects on each other. Further, Ca</w:t>
      </w:r>
      <w:r w:rsidRPr="008B7F94">
        <w:rPr>
          <w:vertAlign w:val="superscript"/>
          <w:lang w:val="en-US"/>
        </w:rPr>
        <w:t>2+</w:t>
      </w:r>
      <w:r w:rsidRPr="008B7F94">
        <w:rPr>
          <w:lang w:val="en-US"/>
        </w:rPr>
        <w:t xml:space="preserve"> inward current is assumed to be a (known) fraction, </w:t>
      </w:r>
      <w:proofErr w:type="spellStart"/>
      <w:proofErr w:type="gramStart"/>
      <w:r w:rsidRPr="008B7F94">
        <w:rPr>
          <w:i/>
          <w:lang w:val="en-US"/>
        </w:rPr>
        <w:t>f</w:t>
      </w:r>
      <w:r w:rsidRPr="008B7F94">
        <w:rPr>
          <w:i/>
          <w:vertAlign w:val="subscript"/>
          <w:lang w:val="en-US"/>
        </w:rPr>
        <w:t>Ca</w:t>
      </w:r>
      <w:proofErr w:type="spellEnd"/>
      <w:proofErr w:type="gramEnd"/>
      <w:r w:rsidRPr="008B7F94">
        <w:rPr>
          <w:lang w:val="en-US"/>
        </w:rPr>
        <w:t xml:space="preserve">, of the current through the CNG channels </w:t>
      </w:r>
      <w:r w:rsidRPr="008B7F94">
        <w:rPr>
          <w:lang w:val="en-US"/>
        </w:rPr>
        <w:lastRenderedPageBreak/>
        <w:t>which is related to the dark current by equation (A17). In darkness, Ca</w:t>
      </w:r>
      <w:r w:rsidRPr="008B7F94">
        <w:rPr>
          <w:vertAlign w:val="superscript"/>
          <w:lang w:val="en-US"/>
        </w:rPr>
        <w:t>2+</w:t>
      </w:r>
      <w:r w:rsidRPr="008B7F94">
        <w:rPr>
          <w:lang w:val="en-US"/>
        </w:rPr>
        <w:t xml:space="preserve"> influx is counterbalanced by Ca</w:t>
      </w:r>
      <w:r w:rsidRPr="008B7F94">
        <w:rPr>
          <w:vertAlign w:val="superscript"/>
          <w:lang w:val="en-US"/>
        </w:rPr>
        <w:t>2+</w:t>
      </w:r>
      <w:r w:rsidRPr="008B7F94">
        <w:rPr>
          <w:lang w:val="en-US"/>
        </w:rPr>
        <w:t xml:space="preserve"> efflux via the exchanger. Hence </w:t>
      </w:r>
    </w:p>
    <w:p w:rsidR="00D03C79" w:rsidRPr="008B7F94" w:rsidRDefault="00D03C79" w:rsidP="00D03C79">
      <w:pPr>
        <w:spacing w:line="360" w:lineRule="auto"/>
        <w:rPr>
          <w:position w:val="-30"/>
          <w:lang w:val="en-US"/>
        </w:rPr>
      </w:pPr>
      <w:r w:rsidRPr="008B7F94">
        <w:rPr>
          <w:lang w:val="en-US"/>
        </w:rPr>
        <w:tab/>
      </w:r>
      <w:r w:rsidRPr="008B7F94">
        <w:rPr>
          <w:position w:val="-34"/>
        </w:rPr>
        <w:object w:dxaOrig="4400" w:dyaOrig="780">
          <v:shape id="_x0000_i1058" type="#_x0000_t75" style="width:220.4pt;height:39.4pt" o:ole="">
            <v:imagedata r:id="rId81" o:title=""/>
          </v:shape>
          <o:OLEObject Type="Embed" ProgID="Equation.3" ShapeID="_x0000_i1058" DrawAspect="Content" ObjectID="_1487181823" r:id="rId82"/>
        </w:object>
      </w:r>
      <w:r w:rsidRPr="008B7F94">
        <w:rPr>
          <w:position w:val="-30"/>
          <w:lang w:val="en-US"/>
        </w:rPr>
        <w:tab/>
      </w:r>
      <w:r w:rsidRPr="008B7F94">
        <w:rPr>
          <w:position w:val="-30"/>
          <w:lang w:val="en-US"/>
        </w:rPr>
        <w:tab/>
      </w:r>
      <w:r w:rsidRPr="008B7F94">
        <w:rPr>
          <w:position w:val="-30"/>
          <w:lang w:val="en-US"/>
        </w:rPr>
        <w:tab/>
      </w:r>
      <w:r w:rsidRPr="008B7F94">
        <w:rPr>
          <w:position w:val="-30"/>
          <w:lang w:val="en-US"/>
        </w:rPr>
        <w:tab/>
      </w:r>
      <w:r w:rsidRPr="008B7F94">
        <w:rPr>
          <w:position w:val="-30"/>
          <w:lang w:val="en-US"/>
        </w:rPr>
        <w:tab/>
        <w:t>(A30)</w:t>
      </w:r>
    </w:p>
    <w:p w:rsidR="00D03C79" w:rsidRPr="008B7F94" w:rsidRDefault="00D03C79" w:rsidP="00D03C79">
      <w:pPr>
        <w:tabs>
          <w:tab w:val="left" w:pos="708"/>
          <w:tab w:val="left" w:pos="1963"/>
        </w:tabs>
        <w:spacing w:line="360" w:lineRule="auto"/>
        <w:rPr>
          <w:lang w:val="en-US"/>
        </w:rPr>
      </w:pPr>
      <w:proofErr w:type="gramStart"/>
      <w:r w:rsidRPr="008B7F94">
        <w:rPr>
          <w:lang w:val="en-US"/>
        </w:rPr>
        <w:t>or</w:t>
      </w:r>
      <w:proofErr w:type="gramEnd"/>
      <w:r w:rsidRPr="008B7F94">
        <w:rPr>
          <w:lang w:val="en-US"/>
        </w:rPr>
        <w:tab/>
      </w:r>
      <w:r w:rsidRPr="008B7F94">
        <w:rPr>
          <w:lang w:val="en-US"/>
        </w:rPr>
        <w:tab/>
      </w:r>
    </w:p>
    <w:p w:rsidR="00D03C79" w:rsidRPr="008B7F94" w:rsidRDefault="00D03C79" w:rsidP="00D03C79">
      <w:pPr>
        <w:spacing w:line="360" w:lineRule="auto"/>
        <w:rPr>
          <w:position w:val="-30"/>
          <w:lang w:val="en-US"/>
        </w:rPr>
      </w:pPr>
      <w:r w:rsidRPr="008B7F94">
        <w:rPr>
          <w:lang w:val="en-US"/>
        </w:rPr>
        <w:tab/>
      </w:r>
      <w:r w:rsidRPr="008B7F94">
        <w:rPr>
          <w:position w:val="-36"/>
        </w:rPr>
        <w:object w:dxaOrig="4340" w:dyaOrig="859">
          <v:shape id="_x0000_i1059" type="#_x0000_t75" style="width:217.2pt;height:42.95pt" o:ole="">
            <v:imagedata r:id="rId83" o:title=""/>
          </v:shape>
          <o:OLEObject Type="Embed" ProgID="Equation.3" ShapeID="_x0000_i1059" DrawAspect="Content" ObjectID="_1487181824" r:id="rId84"/>
        </w:object>
      </w:r>
      <w:r w:rsidRPr="008B7F94">
        <w:rPr>
          <w:position w:val="-30"/>
          <w:lang w:val="en-US"/>
        </w:rPr>
        <w:tab/>
      </w:r>
      <w:r w:rsidRPr="008B7F94">
        <w:rPr>
          <w:position w:val="-30"/>
          <w:lang w:val="en-US"/>
        </w:rPr>
        <w:tab/>
      </w:r>
      <w:r w:rsidRPr="008B7F94">
        <w:rPr>
          <w:position w:val="-30"/>
          <w:lang w:val="en-US"/>
        </w:rPr>
        <w:tab/>
      </w:r>
      <w:r w:rsidRPr="008B7F94">
        <w:rPr>
          <w:position w:val="-30"/>
          <w:lang w:val="en-US"/>
        </w:rPr>
        <w:tab/>
      </w:r>
      <w:r w:rsidRPr="008B7F94">
        <w:rPr>
          <w:position w:val="-30"/>
          <w:lang w:val="en-US"/>
        </w:rPr>
        <w:tab/>
        <w:t>(A31)</w:t>
      </w:r>
    </w:p>
    <w:p w:rsidR="00D03C79" w:rsidRPr="008B7F94" w:rsidRDefault="00D03C79" w:rsidP="00D03C79">
      <w:pPr>
        <w:spacing w:line="360" w:lineRule="auto"/>
        <w:rPr>
          <w:lang w:val="en-US"/>
        </w:rPr>
      </w:pPr>
      <w:r w:rsidRPr="008B7F94">
        <w:rPr>
          <w:lang w:val="en-US"/>
        </w:rPr>
        <w:t xml:space="preserve">Therefore, fixing </w:t>
      </w:r>
      <w:proofErr w:type="spellStart"/>
      <w:r w:rsidRPr="008B7F94">
        <w:rPr>
          <w:i/>
          <w:lang w:val="en-US"/>
        </w:rPr>
        <w:t>K</w:t>
      </w:r>
      <w:r w:rsidRPr="008B7F94">
        <w:rPr>
          <w:i/>
          <w:vertAlign w:val="subscript"/>
          <w:lang w:val="en-US"/>
        </w:rPr>
        <w:t>ex</w:t>
      </w:r>
      <w:proofErr w:type="spellEnd"/>
      <w:r w:rsidRPr="008B7F94">
        <w:rPr>
          <w:i/>
          <w:lang w:val="en-US"/>
        </w:rPr>
        <w:t>/</w:t>
      </w:r>
      <w:proofErr w:type="spellStart"/>
      <w:r w:rsidRPr="008B7F94">
        <w:rPr>
          <w:i/>
          <w:lang w:val="en-US"/>
        </w:rPr>
        <w:t>Ca</w:t>
      </w:r>
      <w:r w:rsidRPr="008B7F94">
        <w:rPr>
          <w:i/>
          <w:vertAlign w:val="subscript"/>
          <w:lang w:val="en-US"/>
        </w:rPr>
        <w:t>dark</w:t>
      </w:r>
      <w:proofErr w:type="spellEnd"/>
      <w:r w:rsidRPr="008B7F94">
        <w:rPr>
          <w:lang w:val="en-US"/>
        </w:rPr>
        <w:t xml:space="preserve"> ratio at the value obtained from Ca</w:t>
      </w:r>
      <w:r w:rsidRPr="008B7F94">
        <w:rPr>
          <w:vertAlign w:val="superscript"/>
          <w:lang w:val="en-US"/>
        </w:rPr>
        <w:t>2+</w:t>
      </w:r>
      <w:r w:rsidRPr="008B7F94">
        <w:rPr>
          <w:lang w:val="en-US"/>
        </w:rPr>
        <w:t xml:space="preserve">-clamp experiments (see above) determines </w:t>
      </w:r>
      <w:proofErr w:type="spellStart"/>
      <w:r w:rsidRPr="008B7F94">
        <w:rPr>
          <w:i/>
          <w:lang w:val="en-US"/>
        </w:rPr>
        <w:t>j</w:t>
      </w:r>
      <w:r w:rsidRPr="008B7F94">
        <w:rPr>
          <w:i/>
          <w:vertAlign w:val="subscript"/>
          <w:lang w:val="en-US"/>
        </w:rPr>
        <w:t>exsat</w:t>
      </w:r>
      <w:proofErr w:type="spellEnd"/>
      <w:r w:rsidRPr="008B7F94">
        <w:rPr>
          <w:lang w:val="en-US"/>
        </w:rPr>
        <w:t xml:space="preserve"> for a given </w:t>
      </w:r>
      <w:proofErr w:type="spellStart"/>
      <w:r w:rsidRPr="008B7F94">
        <w:rPr>
          <w:i/>
          <w:lang w:val="en-US"/>
        </w:rPr>
        <w:t>j</w:t>
      </w:r>
      <w:r w:rsidRPr="008B7F94">
        <w:rPr>
          <w:i/>
          <w:vertAlign w:val="subscript"/>
          <w:lang w:val="en-US"/>
        </w:rPr>
        <w:t>dark</w:t>
      </w:r>
      <w:proofErr w:type="spellEnd"/>
      <w:r w:rsidRPr="008B7F94">
        <w:rPr>
          <w:lang w:val="en-US"/>
        </w:rPr>
        <w:t xml:space="preserve">. </w:t>
      </w:r>
    </w:p>
    <w:p w:rsidR="00D03C79" w:rsidRPr="008B7F94" w:rsidRDefault="00D03C79" w:rsidP="00D03C79">
      <w:pPr>
        <w:spacing w:line="360" w:lineRule="auto"/>
        <w:rPr>
          <w:lang w:val="en-US"/>
        </w:rPr>
      </w:pPr>
      <w:r w:rsidRPr="008B7F94">
        <w:rPr>
          <w:lang w:val="en-US"/>
        </w:rPr>
        <w:tab/>
        <w:t xml:space="preserve">Similarly, assigning the dark cGMP concentration </w:t>
      </w:r>
      <w:proofErr w:type="spellStart"/>
      <w:r w:rsidRPr="008B7F94">
        <w:rPr>
          <w:i/>
          <w:lang w:val="en-US"/>
        </w:rPr>
        <w:t>cG</w:t>
      </w:r>
      <w:r w:rsidRPr="008B7F94">
        <w:rPr>
          <w:i/>
          <w:vertAlign w:val="subscript"/>
          <w:lang w:val="en-US"/>
        </w:rPr>
        <w:t>dark</w:t>
      </w:r>
      <w:proofErr w:type="spellEnd"/>
      <w:r w:rsidRPr="008B7F94">
        <w:rPr>
          <w:lang w:val="en-US"/>
        </w:rPr>
        <w:t xml:space="preserve"> a certain value, based both on literature data and our Ca</w:t>
      </w:r>
      <w:r w:rsidRPr="008B7F94">
        <w:rPr>
          <w:vertAlign w:val="superscript"/>
          <w:lang w:val="en-US"/>
        </w:rPr>
        <w:t>2+</w:t>
      </w:r>
      <w:r w:rsidRPr="008B7F94">
        <w:rPr>
          <w:lang w:val="en-US"/>
        </w:rPr>
        <w:t xml:space="preserve">-clamp experiments, determines the maximum value of cGMP-gated current </w:t>
      </w:r>
      <w:proofErr w:type="spellStart"/>
      <w:r w:rsidRPr="008B7F94">
        <w:rPr>
          <w:i/>
          <w:lang w:val="en-US"/>
        </w:rPr>
        <w:t>j</w:t>
      </w:r>
      <w:r w:rsidRPr="008B7F94">
        <w:rPr>
          <w:i/>
          <w:vertAlign w:val="subscript"/>
          <w:lang w:val="en-US"/>
        </w:rPr>
        <w:t>cGmax</w:t>
      </w:r>
      <w:proofErr w:type="spellEnd"/>
      <w:r w:rsidRPr="008B7F94">
        <w:rPr>
          <w:lang w:val="en-US"/>
        </w:rPr>
        <w:t xml:space="preserve"> or conductance </w:t>
      </w:r>
      <w:proofErr w:type="spellStart"/>
      <w:r w:rsidRPr="008B7F94">
        <w:rPr>
          <w:i/>
          <w:lang w:val="en-US"/>
        </w:rPr>
        <w:t>g</w:t>
      </w:r>
      <w:r w:rsidRPr="008B7F94">
        <w:rPr>
          <w:i/>
          <w:vertAlign w:val="subscript"/>
          <w:lang w:val="en-US"/>
        </w:rPr>
        <w:t>cGmax</w:t>
      </w:r>
      <w:proofErr w:type="spellEnd"/>
      <w:r w:rsidRPr="008B7F94">
        <w:rPr>
          <w:lang w:val="en-US"/>
        </w:rPr>
        <w:t xml:space="preserve"> (equations (A16, A17)). </w:t>
      </w:r>
      <w:proofErr w:type="spellStart"/>
      <w:proofErr w:type="gramStart"/>
      <w:r w:rsidRPr="008B7F94">
        <w:rPr>
          <w:i/>
          <w:lang w:val="en-US"/>
        </w:rPr>
        <w:t>cG</w:t>
      </w:r>
      <w:r w:rsidRPr="008B7F94">
        <w:rPr>
          <w:i/>
          <w:vertAlign w:val="subscript"/>
          <w:lang w:val="en-US"/>
        </w:rPr>
        <w:t>dark</w:t>
      </w:r>
      <w:proofErr w:type="spellEnd"/>
      <w:proofErr w:type="gramEnd"/>
      <w:r w:rsidRPr="008B7F94">
        <w:rPr>
          <w:lang w:val="en-US"/>
        </w:rPr>
        <w:t xml:space="preserve"> in turn is set by the balance between its synthesis and hydrolysis, that is by </w:t>
      </w:r>
      <w:r w:rsidRPr="008B7F94">
        <w:rPr>
          <w:rFonts w:ascii="Symbol" w:hAnsi="Symbol"/>
          <w:i/>
          <w:iCs/>
        </w:rPr>
        <w:t></w:t>
      </w:r>
      <w:r w:rsidRPr="008B7F94">
        <w:rPr>
          <w:i/>
          <w:vertAlign w:val="subscript"/>
          <w:lang w:val="en-US"/>
        </w:rPr>
        <w:t>dark</w:t>
      </w:r>
      <w:r w:rsidRPr="008B7F94">
        <w:rPr>
          <w:lang w:val="en-US"/>
        </w:rPr>
        <w:t xml:space="preserve"> and </w:t>
      </w:r>
      <w:r w:rsidRPr="008B7F94">
        <w:rPr>
          <w:rFonts w:ascii="Symbol" w:hAnsi="Symbol"/>
          <w:i/>
          <w:lang w:val="en-US"/>
        </w:rPr>
        <w:t></w:t>
      </w:r>
      <w:r w:rsidRPr="008B7F94">
        <w:rPr>
          <w:i/>
          <w:vertAlign w:val="subscript"/>
          <w:lang w:val="en-US"/>
        </w:rPr>
        <w:t>dark</w:t>
      </w:r>
      <w:r w:rsidRPr="008B7F94">
        <w:rPr>
          <w:lang w:val="en-US"/>
        </w:rPr>
        <w:t xml:space="preserve">. Correspondingly, </w:t>
      </w:r>
      <w:r w:rsidRPr="008B7F94">
        <w:rPr>
          <w:rFonts w:ascii="Symbol" w:hAnsi="Symbol"/>
          <w:i/>
          <w:iCs/>
        </w:rPr>
        <w:t></w:t>
      </w:r>
      <w:r w:rsidRPr="008B7F94">
        <w:rPr>
          <w:vertAlign w:val="subscript"/>
          <w:lang w:val="en-US"/>
        </w:rPr>
        <w:t>dark</w:t>
      </w:r>
      <w:r w:rsidRPr="008B7F94">
        <w:rPr>
          <w:lang w:val="en-US"/>
        </w:rPr>
        <w:t xml:space="preserve"> and </w:t>
      </w:r>
      <w:r w:rsidRPr="008B7F94">
        <w:rPr>
          <w:rFonts w:ascii="Symbol" w:hAnsi="Symbol"/>
          <w:i/>
          <w:lang w:val="en-US"/>
        </w:rPr>
        <w:t></w:t>
      </w:r>
      <w:r w:rsidRPr="008B7F94">
        <w:rPr>
          <w:i/>
          <w:vertAlign w:val="subscript"/>
          <w:lang w:val="en-US"/>
        </w:rPr>
        <w:t>dark</w:t>
      </w:r>
      <w:r w:rsidRPr="008B7F94">
        <w:rPr>
          <w:lang w:val="en-US"/>
        </w:rPr>
        <w:t xml:space="preserve"> are not independent and should change in a concerted way to keep fixed </w:t>
      </w:r>
      <w:proofErr w:type="spellStart"/>
      <w:r w:rsidRPr="008B7F94">
        <w:rPr>
          <w:i/>
          <w:lang w:val="en-US"/>
        </w:rPr>
        <w:t>cG</w:t>
      </w:r>
      <w:r w:rsidRPr="008B7F94">
        <w:rPr>
          <w:i/>
          <w:vertAlign w:val="subscript"/>
          <w:lang w:val="en-US"/>
        </w:rPr>
        <w:t>dark</w:t>
      </w:r>
      <w:proofErr w:type="spellEnd"/>
      <w:r w:rsidRPr="008B7F94">
        <w:rPr>
          <w:lang w:val="en-US"/>
        </w:rPr>
        <w:t xml:space="preserve">. On the other hand, </w:t>
      </w:r>
      <w:r w:rsidRPr="008B7F94">
        <w:rPr>
          <w:rFonts w:ascii="Symbol" w:hAnsi="Symbol"/>
          <w:i/>
          <w:iCs/>
        </w:rPr>
        <w:t></w:t>
      </w:r>
      <w:r w:rsidRPr="008B7F94">
        <w:rPr>
          <w:vertAlign w:val="subscript"/>
          <w:lang w:val="en-US"/>
        </w:rPr>
        <w:t>dark</w:t>
      </w:r>
      <w:r w:rsidRPr="008B7F94">
        <w:rPr>
          <w:lang w:val="en-US"/>
        </w:rPr>
        <w:t xml:space="preserve"> sets cGMP dark turnover rate </w:t>
      </w:r>
      <w:r w:rsidRPr="008B7F94">
        <w:rPr>
          <w:rFonts w:ascii="Symbol" w:hAnsi="Symbol"/>
          <w:i/>
          <w:lang w:val="en-US"/>
        </w:rPr>
        <w:t></w:t>
      </w:r>
      <w:r w:rsidRPr="008B7F94">
        <w:rPr>
          <w:i/>
          <w:vertAlign w:val="subscript"/>
          <w:lang w:val="en-US"/>
        </w:rPr>
        <w:t>dark</w:t>
      </w:r>
      <w:r w:rsidRPr="008B7F94">
        <w:rPr>
          <w:lang w:val="en-US"/>
        </w:rPr>
        <w:t>/</w:t>
      </w:r>
      <w:proofErr w:type="spellStart"/>
      <w:r w:rsidRPr="008B7F94">
        <w:rPr>
          <w:i/>
          <w:lang w:val="en-US"/>
        </w:rPr>
        <w:t>cG</w:t>
      </w:r>
      <w:r w:rsidRPr="008B7F94">
        <w:rPr>
          <w:i/>
          <w:vertAlign w:val="subscript"/>
          <w:lang w:val="en-US"/>
        </w:rPr>
        <w:t>dark</w:t>
      </w:r>
      <w:proofErr w:type="spellEnd"/>
      <w:r w:rsidRPr="008B7F94">
        <w:rPr>
          <w:lang w:val="en-US"/>
        </w:rPr>
        <w:t xml:space="preserve">.  As an estimate of the value of </w:t>
      </w:r>
      <w:r w:rsidRPr="008B7F94">
        <w:rPr>
          <w:rFonts w:ascii="Symbol" w:hAnsi="Symbol"/>
          <w:i/>
          <w:lang w:val="en-US"/>
        </w:rPr>
        <w:t></w:t>
      </w:r>
      <w:r w:rsidRPr="008B7F94">
        <w:rPr>
          <w:i/>
          <w:vertAlign w:val="subscript"/>
          <w:lang w:val="en-US"/>
        </w:rPr>
        <w:t>Dark</w:t>
      </w:r>
      <w:r w:rsidRPr="008B7F94">
        <w:rPr>
          <w:lang w:val="en-US"/>
        </w:rPr>
        <w:t>/</w:t>
      </w:r>
      <w:proofErr w:type="spellStart"/>
      <w:r w:rsidRPr="008B7F94">
        <w:rPr>
          <w:i/>
          <w:lang w:val="en-US"/>
        </w:rPr>
        <w:t>cG</w:t>
      </w:r>
      <w:r w:rsidRPr="008B7F94">
        <w:rPr>
          <w:i/>
          <w:vertAlign w:val="subscript"/>
          <w:lang w:val="en-US"/>
        </w:rPr>
        <w:t>Dark</w:t>
      </w:r>
      <w:proofErr w:type="spellEnd"/>
      <w:r w:rsidRPr="008B7F94">
        <w:rPr>
          <w:lang w:val="en-US"/>
        </w:rPr>
        <w:t xml:space="preserve"> is obtained from Ca</w:t>
      </w:r>
      <w:r w:rsidRPr="008B7F94">
        <w:rPr>
          <w:vertAlign w:val="superscript"/>
          <w:lang w:val="en-US"/>
        </w:rPr>
        <w:t>2+</w:t>
      </w:r>
      <w:r w:rsidRPr="008B7F94">
        <w:rPr>
          <w:lang w:val="en-US"/>
        </w:rPr>
        <w:t xml:space="preserve">-clamp experiments, this greatly reduces the possible variations in </w:t>
      </w:r>
      <w:r w:rsidRPr="008B7F94">
        <w:rPr>
          <w:rFonts w:ascii="Symbol" w:hAnsi="Symbol"/>
          <w:i/>
          <w:iCs/>
        </w:rPr>
        <w:t></w:t>
      </w:r>
      <w:r w:rsidRPr="008B7F94">
        <w:rPr>
          <w:vertAlign w:val="subscript"/>
          <w:lang w:val="en-US"/>
        </w:rPr>
        <w:t>dark</w:t>
      </w:r>
      <w:r w:rsidRPr="008B7F94">
        <w:rPr>
          <w:lang w:val="en-US"/>
        </w:rPr>
        <w:t xml:space="preserve"> and </w:t>
      </w:r>
      <w:r w:rsidRPr="008B7F94">
        <w:rPr>
          <w:rFonts w:ascii="Symbol" w:hAnsi="Symbol"/>
          <w:i/>
          <w:lang w:val="en-US"/>
        </w:rPr>
        <w:t></w:t>
      </w:r>
      <w:r w:rsidRPr="008B7F94">
        <w:rPr>
          <w:i/>
          <w:vertAlign w:val="subscript"/>
          <w:lang w:val="en-US"/>
        </w:rPr>
        <w:t>dark</w:t>
      </w:r>
      <w:r w:rsidRPr="008B7F94">
        <w:rPr>
          <w:lang w:val="en-US"/>
        </w:rPr>
        <w:t xml:space="preserve"> during model fitting. </w:t>
      </w:r>
    </w:p>
    <w:p w:rsidR="00D03C79" w:rsidRPr="008B7F94" w:rsidRDefault="00D03C79" w:rsidP="00D03C79">
      <w:pPr>
        <w:spacing w:line="360" w:lineRule="auto"/>
        <w:rPr>
          <w:lang w:val="en-US"/>
        </w:rPr>
      </w:pPr>
      <w:r w:rsidRPr="008B7F94">
        <w:rPr>
          <w:lang w:val="en-US"/>
        </w:rPr>
        <w:tab/>
        <w:t>Finally, only 12 parameters of over 30 are left relatively free for fitting (Table A3). Of them, values of four (</w:t>
      </w:r>
      <w:r w:rsidRPr="008B7F94">
        <w:rPr>
          <w:rFonts w:ascii="Symbol" w:hAnsi="Symbol"/>
          <w:i/>
          <w:lang w:val="en-US"/>
        </w:rPr>
        <w:t></w:t>
      </w:r>
      <w:r w:rsidRPr="008B7F94">
        <w:rPr>
          <w:i/>
          <w:vertAlign w:val="subscript"/>
          <w:lang w:val="en-US"/>
        </w:rPr>
        <w:t>d</w:t>
      </w:r>
      <w:r w:rsidRPr="008B7F94">
        <w:rPr>
          <w:vertAlign w:val="subscript"/>
          <w:lang w:val="en-US"/>
        </w:rPr>
        <w:t>ark</w:t>
      </w:r>
      <w:r w:rsidRPr="008B7F94">
        <w:rPr>
          <w:lang w:val="en-US"/>
        </w:rPr>
        <w:t>/</w:t>
      </w:r>
      <w:proofErr w:type="spellStart"/>
      <w:r w:rsidRPr="008B7F94">
        <w:rPr>
          <w:i/>
          <w:lang w:val="en-US"/>
        </w:rPr>
        <w:t>cG</w:t>
      </w:r>
      <w:r w:rsidRPr="008B7F94">
        <w:rPr>
          <w:i/>
          <w:vertAlign w:val="subscript"/>
          <w:lang w:val="en-US"/>
        </w:rPr>
        <w:t>dark</w:t>
      </w:r>
      <w:proofErr w:type="spellEnd"/>
      <w:r w:rsidRPr="008B7F94">
        <w:rPr>
          <w:lang w:val="en-US"/>
        </w:rPr>
        <w:t>,</w:t>
      </w:r>
      <w:r w:rsidRPr="008B7F94">
        <w:rPr>
          <w:i/>
          <w:vertAlign w:val="subscript"/>
          <w:lang w:val="en-US"/>
        </w:rPr>
        <w:t xml:space="preserve"> </w:t>
      </w:r>
      <w:proofErr w:type="spellStart"/>
      <w:r w:rsidRPr="008B7F94">
        <w:rPr>
          <w:i/>
          <w:lang w:val="en-US"/>
        </w:rPr>
        <w:t>k</w:t>
      </w:r>
      <w:r w:rsidRPr="008B7F94">
        <w:rPr>
          <w:i/>
          <w:vertAlign w:val="subscript"/>
          <w:lang w:val="en-US"/>
        </w:rPr>
        <w:t>R</w:t>
      </w:r>
      <w:r w:rsidRPr="008B7F94">
        <w:rPr>
          <w:vertAlign w:val="subscript"/>
          <w:lang w:val="en-US"/>
        </w:rPr>
        <w:t>dark</w:t>
      </w:r>
      <w:proofErr w:type="spellEnd"/>
      <w:r w:rsidRPr="008B7F94">
        <w:rPr>
          <w:lang w:val="en-US"/>
        </w:rPr>
        <w:t>,</w:t>
      </w:r>
      <w:r w:rsidRPr="008B7F94">
        <w:rPr>
          <w:i/>
          <w:iCs/>
          <w:lang w:val="en-US"/>
        </w:rPr>
        <w:t xml:space="preserve"> </w:t>
      </w:r>
      <w:proofErr w:type="spellStart"/>
      <w:r w:rsidRPr="008B7F94">
        <w:rPr>
          <w:i/>
          <w:iCs/>
          <w:lang w:val="en-US"/>
        </w:rPr>
        <w:t>k</w:t>
      </w:r>
      <w:r w:rsidRPr="008B7F94">
        <w:rPr>
          <w:i/>
          <w:iCs/>
          <w:vertAlign w:val="subscript"/>
          <w:lang w:val="en-US"/>
        </w:rPr>
        <w:t>E</w:t>
      </w:r>
      <w:proofErr w:type="spellEnd"/>
      <w:r w:rsidRPr="008B7F94">
        <w:rPr>
          <w:iCs/>
          <w:lang w:val="en-US"/>
        </w:rPr>
        <w:t xml:space="preserve"> and</w:t>
      </w:r>
      <w:r w:rsidRPr="008B7F94">
        <w:rPr>
          <w:rFonts w:ascii="Symbol" w:hAnsi="Symbol"/>
          <w:iCs/>
          <w:lang w:val="en-US"/>
        </w:rPr>
        <w:t></w:t>
      </w:r>
      <w:r w:rsidRPr="008B7F94">
        <w:rPr>
          <w:rFonts w:ascii="Symbol" w:hAnsi="Symbol"/>
          <w:i/>
          <w:iCs/>
          <w:lang w:val="en-US"/>
        </w:rPr>
        <w:t></w:t>
      </w:r>
      <w:r w:rsidRPr="008B7F94">
        <w:rPr>
          <w:i/>
          <w:iCs/>
          <w:vertAlign w:val="subscript"/>
          <w:lang w:val="en-US"/>
        </w:rPr>
        <w:t>e</w:t>
      </w:r>
      <w:r w:rsidRPr="008B7F94">
        <w:rPr>
          <w:iCs/>
          <w:lang w:val="en-US"/>
        </w:rPr>
        <w:t xml:space="preserve">) are constrained by </w:t>
      </w:r>
      <w:r w:rsidRPr="008B7F94">
        <w:rPr>
          <w:lang w:val="en-US"/>
        </w:rPr>
        <w:t>Ca</w:t>
      </w:r>
      <w:r w:rsidRPr="008B7F94">
        <w:rPr>
          <w:vertAlign w:val="superscript"/>
          <w:lang w:val="en-US"/>
        </w:rPr>
        <w:t>2+</w:t>
      </w:r>
      <w:r w:rsidRPr="008B7F94">
        <w:rPr>
          <w:lang w:val="en-US"/>
        </w:rPr>
        <w:t xml:space="preserve">-clamp experiments. </w:t>
      </w:r>
    </w:p>
    <w:p w:rsidR="00D03C79" w:rsidRPr="008B7F94" w:rsidRDefault="00D03C79">
      <w:pPr>
        <w:rPr>
          <w:lang w:val="en-US"/>
        </w:rPr>
      </w:pPr>
      <w:r w:rsidRPr="008B7F94">
        <w:rPr>
          <w:lang w:val="en-US"/>
        </w:rPr>
        <w:br w:type="page"/>
      </w:r>
    </w:p>
    <w:p w:rsidR="00D03C79" w:rsidRPr="008B7F94" w:rsidRDefault="00D03C79" w:rsidP="00FC6424">
      <w:pPr>
        <w:spacing w:line="360" w:lineRule="auto"/>
        <w:rPr>
          <w:b/>
          <w:lang w:val="en-US"/>
        </w:rPr>
      </w:pPr>
      <w:r w:rsidRPr="008B7F94">
        <w:rPr>
          <w:b/>
          <w:lang w:val="en-US"/>
        </w:rPr>
        <w:lastRenderedPageBreak/>
        <w:t>APPENDIX REFERENCES</w:t>
      </w:r>
    </w:p>
    <w:p w:rsidR="00FC6424" w:rsidRPr="008B7F94" w:rsidRDefault="00FC6424" w:rsidP="00FC6424">
      <w:pPr>
        <w:spacing w:line="360" w:lineRule="auto"/>
        <w:rPr>
          <w:b/>
          <w:lang w:val="en-US"/>
        </w:rPr>
      </w:pPr>
    </w:p>
    <w:p w:rsidR="00D03C79" w:rsidRPr="008B7F94" w:rsidRDefault="003461AF" w:rsidP="00D03C79">
      <w:pPr>
        <w:spacing w:after="120" w:line="360" w:lineRule="auto"/>
        <w:rPr>
          <w:lang w:val="en-US"/>
        </w:rPr>
      </w:pPr>
      <w:r w:rsidRPr="008B7F94">
        <w:rPr>
          <w:lang w:val="en-US"/>
        </w:rPr>
        <w:t>1</w:t>
      </w:r>
      <w:r w:rsidR="004B52D7" w:rsidRPr="008B7F94">
        <w:rPr>
          <w:lang w:val="en-US"/>
        </w:rPr>
        <w:t>.</w:t>
      </w:r>
      <w:r w:rsidR="00D03C79" w:rsidRPr="008B7F94">
        <w:rPr>
          <w:lang w:val="en-US"/>
        </w:rPr>
        <w:t xml:space="preserve"> Pugh EN, Jr., Lamb TD. Phototransduction in vertebrate rods and cones: molecular mechanisms of amplification, recovery and light adaptation. In: </w:t>
      </w:r>
      <w:proofErr w:type="spellStart"/>
      <w:r w:rsidR="00D03C79" w:rsidRPr="008B7F94">
        <w:rPr>
          <w:lang w:val="en-US"/>
        </w:rPr>
        <w:t>Stavenga</w:t>
      </w:r>
      <w:proofErr w:type="spellEnd"/>
      <w:r w:rsidR="00D03C79" w:rsidRPr="008B7F94">
        <w:rPr>
          <w:lang w:val="en-US"/>
        </w:rPr>
        <w:t xml:space="preserve"> DG, Pugh EN Jr., de Grip WJ, editors. </w:t>
      </w:r>
      <w:proofErr w:type="gramStart"/>
      <w:r w:rsidR="00D03C79" w:rsidRPr="008B7F94">
        <w:rPr>
          <w:lang w:val="en-US"/>
        </w:rPr>
        <w:t>Handbook of Biological Physics.</w:t>
      </w:r>
      <w:proofErr w:type="gramEnd"/>
      <w:r w:rsidR="00D03C79" w:rsidRPr="008B7F94">
        <w:rPr>
          <w:lang w:val="en-US"/>
        </w:rPr>
        <w:t xml:space="preserve"> New York: Elsevier Science; 2000. p. 183–255.</w:t>
      </w:r>
    </w:p>
    <w:p w:rsidR="00FC6424" w:rsidRPr="008B7F94" w:rsidRDefault="003461AF" w:rsidP="00FC6424">
      <w:pPr>
        <w:spacing w:after="120" w:line="360" w:lineRule="auto"/>
        <w:rPr>
          <w:lang w:val="en-US"/>
        </w:rPr>
      </w:pPr>
      <w:r w:rsidRPr="008B7F94">
        <w:rPr>
          <w:lang w:val="en-US"/>
        </w:rPr>
        <w:t>2</w:t>
      </w:r>
      <w:r w:rsidR="004B52D7" w:rsidRPr="008B7F94">
        <w:rPr>
          <w:lang w:val="en-US"/>
        </w:rPr>
        <w:t>.</w:t>
      </w:r>
      <w:r w:rsidR="00FC6424" w:rsidRPr="008B7F94">
        <w:rPr>
          <w:lang w:val="en-US"/>
        </w:rPr>
        <w:t xml:space="preserve"> Pugh EN, Jr., Lamb TD. </w:t>
      </w:r>
      <w:proofErr w:type="gramStart"/>
      <w:r w:rsidR="00FC6424" w:rsidRPr="008B7F94">
        <w:rPr>
          <w:lang w:val="en-US"/>
        </w:rPr>
        <w:t>Amplification and kinetics of the activation steps in phototransduction.</w:t>
      </w:r>
      <w:proofErr w:type="gramEnd"/>
      <w:r w:rsidR="00FC6424" w:rsidRPr="008B7F94">
        <w:rPr>
          <w:lang w:val="en-US"/>
        </w:rPr>
        <w:t xml:space="preserve"> </w:t>
      </w:r>
      <w:proofErr w:type="spellStart"/>
      <w:r w:rsidR="00FC6424" w:rsidRPr="008B7F94">
        <w:rPr>
          <w:lang w:val="en-US"/>
        </w:rPr>
        <w:t>Biochim</w:t>
      </w:r>
      <w:proofErr w:type="spellEnd"/>
      <w:r w:rsidR="00FC6424" w:rsidRPr="008B7F94">
        <w:rPr>
          <w:lang w:val="en-US"/>
        </w:rPr>
        <w:t xml:space="preserve"> </w:t>
      </w:r>
      <w:proofErr w:type="spellStart"/>
      <w:r w:rsidR="00FC6424" w:rsidRPr="008B7F94">
        <w:rPr>
          <w:lang w:val="en-US"/>
        </w:rPr>
        <w:t>Biophys</w:t>
      </w:r>
      <w:proofErr w:type="spellEnd"/>
      <w:r w:rsidR="00FC6424" w:rsidRPr="008B7F94">
        <w:rPr>
          <w:lang w:val="en-US"/>
        </w:rPr>
        <w:t xml:space="preserve"> </w:t>
      </w:r>
      <w:proofErr w:type="spellStart"/>
      <w:r w:rsidR="00FC6424" w:rsidRPr="008B7F94">
        <w:rPr>
          <w:lang w:val="en-US"/>
        </w:rPr>
        <w:t>Acta</w:t>
      </w:r>
      <w:proofErr w:type="spellEnd"/>
      <w:r w:rsidR="00FC6424" w:rsidRPr="008B7F94">
        <w:rPr>
          <w:lang w:val="en-US"/>
        </w:rPr>
        <w:t xml:space="preserve"> 1993; 1141:111-49. &lt; </w:t>
      </w:r>
      <w:r w:rsidR="00FC6424" w:rsidRPr="008B7F94">
        <w:rPr>
          <w:rFonts w:eastAsia="Times New Roman"/>
          <w:lang w:val="en-US" w:eastAsia="ru-RU"/>
        </w:rPr>
        <w:t>PMID: 8382952&gt;</w:t>
      </w:r>
    </w:p>
    <w:p w:rsidR="00FC6424" w:rsidRPr="008B7F94" w:rsidRDefault="003461AF" w:rsidP="00FC6424">
      <w:pPr>
        <w:spacing w:after="120" w:line="360" w:lineRule="auto"/>
        <w:rPr>
          <w:lang w:val="en-US"/>
        </w:rPr>
      </w:pPr>
      <w:r w:rsidRPr="008B7F94">
        <w:rPr>
          <w:lang w:val="en-US"/>
        </w:rPr>
        <w:t>3</w:t>
      </w:r>
      <w:r w:rsidR="004B52D7" w:rsidRPr="008B7F94">
        <w:rPr>
          <w:lang w:val="en-US"/>
        </w:rPr>
        <w:t>.</w:t>
      </w:r>
      <w:r w:rsidRPr="008B7F94">
        <w:rPr>
          <w:lang w:val="en-US"/>
        </w:rPr>
        <w:t xml:space="preserve"> </w:t>
      </w:r>
      <w:hyperlink r:id="rId85" w:history="1">
        <w:proofErr w:type="spellStart"/>
        <w:r w:rsidR="00FC6424" w:rsidRPr="008B7F94">
          <w:rPr>
            <w:lang w:val="en-US"/>
          </w:rPr>
          <w:t>Mahroo</w:t>
        </w:r>
        <w:proofErr w:type="spellEnd"/>
        <w:r w:rsidR="00FC6424" w:rsidRPr="008B7F94">
          <w:rPr>
            <w:lang w:val="en-US"/>
          </w:rPr>
          <w:t xml:space="preserve"> OA</w:t>
        </w:r>
      </w:hyperlink>
      <w:r w:rsidR="00FC6424" w:rsidRPr="008B7F94">
        <w:rPr>
          <w:lang w:val="en-US"/>
        </w:rPr>
        <w:t xml:space="preserve">, </w:t>
      </w:r>
      <w:hyperlink r:id="rId86" w:history="1">
        <w:r w:rsidR="00FC6424" w:rsidRPr="008B7F94">
          <w:rPr>
            <w:lang w:val="en-US"/>
          </w:rPr>
          <w:t>Ban VS</w:t>
        </w:r>
      </w:hyperlink>
      <w:r w:rsidR="00FC6424" w:rsidRPr="008B7F94">
        <w:rPr>
          <w:lang w:val="en-US"/>
        </w:rPr>
        <w:t xml:space="preserve">, </w:t>
      </w:r>
      <w:hyperlink r:id="rId87" w:history="1">
        <w:proofErr w:type="spellStart"/>
        <w:r w:rsidR="00FC6424" w:rsidRPr="008B7F94">
          <w:rPr>
            <w:lang w:val="en-US"/>
          </w:rPr>
          <w:t>Bussmann</w:t>
        </w:r>
        <w:proofErr w:type="spellEnd"/>
        <w:r w:rsidR="00FC6424" w:rsidRPr="008B7F94">
          <w:rPr>
            <w:lang w:val="en-US"/>
          </w:rPr>
          <w:t xml:space="preserve"> BM</w:t>
        </w:r>
      </w:hyperlink>
      <w:r w:rsidR="00FC6424" w:rsidRPr="008B7F94">
        <w:rPr>
          <w:lang w:val="en-US"/>
        </w:rPr>
        <w:t xml:space="preserve">, </w:t>
      </w:r>
      <w:hyperlink r:id="rId88" w:history="1">
        <w:r w:rsidR="00FC6424" w:rsidRPr="008B7F94">
          <w:rPr>
            <w:lang w:val="en-US"/>
          </w:rPr>
          <w:t>Copley HC</w:t>
        </w:r>
      </w:hyperlink>
      <w:r w:rsidR="00FC6424" w:rsidRPr="008B7F94">
        <w:rPr>
          <w:lang w:val="en-US"/>
        </w:rPr>
        <w:t xml:space="preserve">, </w:t>
      </w:r>
      <w:hyperlink r:id="rId89" w:history="1">
        <w:r w:rsidR="00FC6424" w:rsidRPr="008B7F94">
          <w:rPr>
            <w:lang w:val="en-US"/>
          </w:rPr>
          <w:t>Hammond CJ</w:t>
        </w:r>
      </w:hyperlink>
      <w:r w:rsidR="00FC6424" w:rsidRPr="008B7F94">
        <w:rPr>
          <w:lang w:val="en-US"/>
        </w:rPr>
        <w:t xml:space="preserve">, </w:t>
      </w:r>
      <w:hyperlink r:id="rId90" w:history="1">
        <w:r w:rsidR="00FC6424" w:rsidRPr="008B7F94">
          <w:rPr>
            <w:lang w:val="en-US"/>
          </w:rPr>
          <w:t>Lamb TD</w:t>
        </w:r>
      </w:hyperlink>
      <w:r w:rsidR="00FC6424" w:rsidRPr="008B7F94">
        <w:rPr>
          <w:lang w:val="en-US"/>
        </w:rPr>
        <w:t xml:space="preserve">. </w:t>
      </w:r>
      <w:r w:rsidR="00FC6424" w:rsidRPr="008B7F94">
        <w:rPr>
          <w:lang w:val="en-US"/>
        </w:rPr>
        <w:tab/>
      </w:r>
      <w:proofErr w:type="gramStart"/>
      <w:r w:rsidR="00FC6424" w:rsidRPr="008B7F94">
        <w:rPr>
          <w:lang w:val="en-US"/>
        </w:rPr>
        <w:t>Modeling the initial phase of the human rod photoreceptor response to the onset of steady illumination.</w:t>
      </w:r>
      <w:proofErr w:type="gramEnd"/>
      <w:r w:rsidR="00FC6424" w:rsidRPr="008B7F94">
        <w:rPr>
          <w:lang w:val="en-US"/>
        </w:rPr>
        <w:t xml:space="preserve"> </w:t>
      </w:r>
      <w:hyperlink r:id="rId91" w:tooltip="Documenta ophthalmologica. Advances in ophthalmology." w:history="1">
        <w:r w:rsidR="00FC6424" w:rsidRPr="008B7F94">
          <w:rPr>
            <w:lang w:val="en-US"/>
          </w:rPr>
          <w:t xml:space="preserve">Doc </w:t>
        </w:r>
        <w:proofErr w:type="spellStart"/>
        <w:r w:rsidR="00FC6424" w:rsidRPr="008B7F94">
          <w:rPr>
            <w:lang w:val="en-US"/>
          </w:rPr>
          <w:t>Ophthalmol</w:t>
        </w:r>
        <w:proofErr w:type="spellEnd"/>
      </w:hyperlink>
      <w:r w:rsidR="00FC6424" w:rsidRPr="008B7F94">
        <w:rPr>
          <w:lang w:val="en-US"/>
        </w:rPr>
        <w:t xml:space="preserve"> 2012; 124:125-31. &lt;</w:t>
      </w:r>
      <w:r w:rsidR="00FC6424" w:rsidRPr="008B7F94">
        <w:rPr>
          <w:rFonts w:eastAsia="Times New Roman"/>
          <w:lang w:val="en-US" w:eastAsia="ru-RU"/>
        </w:rPr>
        <w:t>PMID: 22350929&gt;</w:t>
      </w:r>
    </w:p>
    <w:p w:rsidR="00FC6424" w:rsidRPr="008B7F94" w:rsidRDefault="003461AF" w:rsidP="00FC6424">
      <w:pPr>
        <w:spacing w:after="120" w:line="360" w:lineRule="auto"/>
        <w:rPr>
          <w:lang w:val="en-US"/>
        </w:rPr>
      </w:pPr>
      <w:r w:rsidRPr="008B7F94">
        <w:rPr>
          <w:lang w:val="en-US"/>
        </w:rPr>
        <w:t>4</w:t>
      </w:r>
      <w:r w:rsidR="004B52D7" w:rsidRPr="008B7F94">
        <w:rPr>
          <w:lang w:val="en-US"/>
        </w:rPr>
        <w:t>.</w:t>
      </w:r>
      <w:r w:rsidR="00FC6424" w:rsidRPr="008B7F94">
        <w:rPr>
          <w:lang w:val="en-US"/>
        </w:rPr>
        <w:t xml:space="preserve"> </w:t>
      </w:r>
      <w:proofErr w:type="spellStart"/>
      <w:r w:rsidR="00FC6424" w:rsidRPr="008B7F94">
        <w:rPr>
          <w:lang w:val="en-US"/>
        </w:rPr>
        <w:t>Korenbrot</w:t>
      </w:r>
      <w:proofErr w:type="spellEnd"/>
      <w:r w:rsidR="00FC6424" w:rsidRPr="008B7F94">
        <w:rPr>
          <w:lang w:val="en-US"/>
        </w:rPr>
        <w:t xml:space="preserve"> JI. Speed, sensitivity, and stability of the light response in rod and cone photoreceptors: facts and models. </w:t>
      </w:r>
      <w:proofErr w:type="spellStart"/>
      <w:r w:rsidR="00FC6424" w:rsidRPr="008B7F94">
        <w:rPr>
          <w:lang w:val="en-US"/>
        </w:rPr>
        <w:t>Prog</w:t>
      </w:r>
      <w:proofErr w:type="spellEnd"/>
      <w:r w:rsidR="00FC6424" w:rsidRPr="008B7F94">
        <w:rPr>
          <w:lang w:val="en-US"/>
        </w:rPr>
        <w:t xml:space="preserve"> </w:t>
      </w:r>
      <w:proofErr w:type="spellStart"/>
      <w:r w:rsidR="00FC6424" w:rsidRPr="008B7F94">
        <w:rPr>
          <w:lang w:val="en-US"/>
        </w:rPr>
        <w:t>Retin</w:t>
      </w:r>
      <w:proofErr w:type="spellEnd"/>
      <w:r w:rsidR="00FC6424" w:rsidRPr="008B7F94">
        <w:rPr>
          <w:lang w:val="en-US"/>
        </w:rPr>
        <w:t xml:space="preserve"> Eye Res 2012; 31:442-66. &lt; </w:t>
      </w:r>
      <w:r w:rsidR="00FC6424" w:rsidRPr="008B7F94">
        <w:rPr>
          <w:rFonts w:eastAsia="Times New Roman"/>
          <w:lang w:val="en-US" w:eastAsia="ru-RU"/>
        </w:rPr>
        <w:t>PMID: 22658984&gt;</w:t>
      </w:r>
    </w:p>
    <w:p w:rsidR="00FC6424" w:rsidRPr="008B7F94" w:rsidRDefault="003461AF" w:rsidP="00FC6424">
      <w:pPr>
        <w:spacing w:after="120" w:line="360" w:lineRule="auto"/>
        <w:rPr>
          <w:lang w:val="en-US"/>
        </w:rPr>
      </w:pPr>
      <w:r w:rsidRPr="008B7F94">
        <w:rPr>
          <w:lang w:val="en-US"/>
        </w:rPr>
        <w:t>5</w:t>
      </w:r>
      <w:r w:rsidR="004B52D7" w:rsidRPr="008B7F94">
        <w:rPr>
          <w:lang w:val="en-US"/>
        </w:rPr>
        <w:t>.</w:t>
      </w:r>
      <w:r w:rsidR="00FC6424" w:rsidRPr="008B7F94">
        <w:rPr>
          <w:lang w:val="en-US"/>
        </w:rPr>
        <w:t xml:space="preserve"> </w:t>
      </w:r>
      <w:proofErr w:type="spellStart"/>
      <w:r w:rsidR="00FC6424" w:rsidRPr="008B7F94">
        <w:rPr>
          <w:lang w:val="en-US"/>
        </w:rPr>
        <w:t>Soo</w:t>
      </w:r>
      <w:proofErr w:type="spellEnd"/>
      <w:r w:rsidR="00FC6424" w:rsidRPr="008B7F94">
        <w:rPr>
          <w:lang w:val="en-US"/>
        </w:rPr>
        <w:t xml:space="preserve"> FS, </w:t>
      </w:r>
      <w:proofErr w:type="spellStart"/>
      <w:r w:rsidR="00FC6424" w:rsidRPr="008B7F94">
        <w:rPr>
          <w:lang w:val="en-US"/>
        </w:rPr>
        <w:t>Detwiler</w:t>
      </w:r>
      <w:proofErr w:type="spellEnd"/>
      <w:r w:rsidR="00FC6424" w:rsidRPr="008B7F94">
        <w:rPr>
          <w:lang w:val="en-US"/>
        </w:rPr>
        <w:t xml:space="preserve"> PB, </w:t>
      </w:r>
      <w:proofErr w:type="spellStart"/>
      <w:r w:rsidR="00FC6424" w:rsidRPr="008B7F94">
        <w:rPr>
          <w:lang w:val="en-US"/>
        </w:rPr>
        <w:t>Rieke</w:t>
      </w:r>
      <w:proofErr w:type="spellEnd"/>
      <w:r w:rsidR="00FC6424" w:rsidRPr="008B7F94">
        <w:rPr>
          <w:lang w:val="en-US"/>
        </w:rPr>
        <w:t xml:space="preserve"> F. Light adaptation in salamander L-cone photoreceptors. J </w:t>
      </w:r>
      <w:proofErr w:type="spellStart"/>
      <w:r w:rsidR="00FC6424" w:rsidRPr="008B7F94">
        <w:rPr>
          <w:lang w:val="en-US"/>
        </w:rPr>
        <w:t>Neurosci</w:t>
      </w:r>
      <w:proofErr w:type="spellEnd"/>
      <w:r w:rsidR="00FC6424" w:rsidRPr="008B7F94">
        <w:rPr>
          <w:lang w:val="en-US"/>
        </w:rPr>
        <w:t xml:space="preserve"> 2008; 28:1331-42. &lt; </w:t>
      </w:r>
      <w:r w:rsidR="00FC6424" w:rsidRPr="008B7F94">
        <w:rPr>
          <w:rFonts w:eastAsia="Times New Roman"/>
          <w:lang w:val="en-US" w:eastAsia="ru-RU"/>
        </w:rPr>
        <w:t>PMID: 18256253&gt;</w:t>
      </w:r>
    </w:p>
    <w:p w:rsidR="00FC6424" w:rsidRPr="008B7F94" w:rsidRDefault="003461AF" w:rsidP="00FC6424">
      <w:pPr>
        <w:spacing w:after="120" w:line="360" w:lineRule="auto"/>
        <w:rPr>
          <w:lang w:val="en-US"/>
        </w:rPr>
      </w:pPr>
      <w:r w:rsidRPr="008B7F94">
        <w:rPr>
          <w:lang w:val="en-US"/>
        </w:rPr>
        <w:t>6</w:t>
      </w:r>
      <w:r w:rsidR="004B52D7" w:rsidRPr="008B7F94">
        <w:rPr>
          <w:lang w:val="en-US"/>
        </w:rPr>
        <w:t>.</w:t>
      </w:r>
      <w:r w:rsidRPr="008B7F94">
        <w:rPr>
          <w:lang w:val="en-US"/>
        </w:rPr>
        <w:t xml:space="preserve"> </w:t>
      </w:r>
      <w:proofErr w:type="spellStart"/>
      <w:r w:rsidR="00FC6424" w:rsidRPr="008B7F94">
        <w:rPr>
          <w:lang w:val="en-US"/>
        </w:rPr>
        <w:t>Kuzmin</w:t>
      </w:r>
      <w:proofErr w:type="spellEnd"/>
      <w:r w:rsidR="00FC6424" w:rsidRPr="008B7F94">
        <w:rPr>
          <w:lang w:val="en-US"/>
        </w:rPr>
        <w:t xml:space="preserve"> D.G. Mathematical modeling of phototransduction and light adaptation in frog retinal rods. </w:t>
      </w:r>
      <w:proofErr w:type="spellStart"/>
      <w:r w:rsidR="00FC6424" w:rsidRPr="008B7F94">
        <w:rPr>
          <w:lang w:val="en-US"/>
        </w:rPr>
        <w:t>Sens</w:t>
      </w:r>
      <w:proofErr w:type="spellEnd"/>
      <w:r w:rsidR="00FC6424" w:rsidRPr="008B7F94">
        <w:rPr>
          <w:lang w:val="en-US"/>
        </w:rPr>
        <w:t xml:space="preserve"> </w:t>
      </w:r>
      <w:proofErr w:type="spellStart"/>
      <w:proofErr w:type="gramStart"/>
      <w:r w:rsidR="00FC6424" w:rsidRPr="008B7F94">
        <w:rPr>
          <w:lang w:val="en-US"/>
        </w:rPr>
        <w:t>Syst</w:t>
      </w:r>
      <w:proofErr w:type="spellEnd"/>
      <w:r w:rsidR="00FC6424" w:rsidRPr="008B7F94">
        <w:rPr>
          <w:lang w:val="en-US"/>
        </w:rPr>
        <w:t xml:space="preserve">  2004</w:t>
      </w:r>
      <w:proofErr w:type="gramEnd"/>
      <w:r w:rsidR="00FC6424" w:rsidRPr="008B7F94">
        <w:rPr>
          <w:lang w:val="en-US"/>
        </w:rPr>
        <w:t>; 18:305-16 (Russ.).</w:t>
      </w:r>
    </w:p>
    <w:p w:rsidR="00FC6424" w:rsidRPr="008B7F94" w:rsidRDefault="003461AF" w:rsidP="00FC6424">
      <w:pPr>
        <w:spacing w:after="120" w:line="360" w:lineRule="auto"/>
        <w:rPr>
          <w:lang w:val="en-US"/>
        </w:rPr>
      </w:pPr>
      <w:r w:rsidRPr="008B7F94">
        <w:rPr>
          <w:lang w:val="en-US"/>
        </w:rPr>
        <w:t>7</w:t>
      </w:r>
      <w:r w:rsidR="004B52D7" w:rsidRPr="008B7F94">
        <w:rPr>
          <w:lang w:val="en-US"/>
        </w:rPr>
        <w:t>.</w:t>
      </w:r>
      <w:r w:rsidRPr="008B7F94">
        <w:rPr>
          <w:lang w:val="en-US"/>
        </w:rPr>
        <w:t xml:space="preserve"> </w:t>
      </w:r>
      <w:proofErr w:type="spellStart"/>
      <w:r w:rsidR="00FC6424" w:rsidRPr="008B7F94">
        <w:rPr>
          <w:lang w:val="en-US"/>
        </w:rPr>
        <w:t>Kolesnikov</w:t>
      </w:r>
      <w:proofErr w:type="spellEnd"/>
      <w:r w:rsidR="00FC6424" w:rsidRPr="008B7F94">
        <w:rPr>
          <w:lang w:val="en-US"/>
        </w:rPr>
        <w:t xml:space="preserve"> AV, </w:t>
      </w:r>
      <w:proofErr w:type="spellStart"/>
      <w:r w:rsidR="00FC6424" w:rsidRPr="008B7F94">
        <w:rPr>
          <w:lang w:val="en-US"/>
        </w:rPr>
        <w:t>Rikimaru</w:t>
      </w:r>
      <w:proofErr w:type="spellEnd"/>
      <w:r w:rsidR="00FC6424" w:rsidRPr="008B7F94">
        <w:rPr>
          <w:lang w:val="en-US"/>
        </w:rPr>
        <w:t xml:space="preserve"> L, </w:t>
      </w:r>
      <w:proofErr w:type="spellStart"/>
      <w:r w:rsidR="00FC6424" w:rsidRPr="008B7F94">
        <w:rPr>
          <w:lang w:val="en-US"/>
        </w:rPr>
        <w:t>Hennig</w:t>
      </w:r>
      <w:proofErr w:type="spellEnd"/>
      <w:r w:rsidR="00FC6424" w:rsidRPr="008B7F94">
        <w:rPr>
          <w:lang w:val="en-US"/>
        </w:rPr>
        <w:t xml:space="preserve"> AK, </w:t>
      </w:r>
      <w:proofErr w:type="spellStart"/>
      <w:r w:rsidR="00FC6424" w:rsidRPr="008B7F94">
        <w:rPr>
          <w:lang w:val="en-US"/>
        </w:rPr>
        <w:t>Lukasiewicz</w:t>
      </w:r>
      <w:proofErr w:type="spellEnd"/>
      <w:r w:rsidR="00FC6424" w:rsidRPr="008B7F94">
        <w:rPr>
          <w:lang w:val="en-US"/>
        </w:rPr>
        <w:t xml:space="preserve"> PD, </w:t>
      </w:r>
      <w:proofErr w:type="spellStart"/>
      <w:r w:rsidR="00FC6424" w:rsidRPr="008B7F94">
        <w:rPr>
          <w:lang w:val="en-US"/>
        </w:rPr>
        <w:t>Fliesler</w:t>
      </w:r>
      <w:proofErr w:type="spellEnd"/>
      <w:r w:rsidR="00FC6424" w:rsidRPr="008B7F94">
        <w:rPr>
          <w:lang w:val="en-US"/>
        </w:rPr>
        <w:t xml:space="preserve"> SJ, </w:t>
      </w:r>
      <w:proofErr w:type="spellStart"/>
      <w:r w:rsidR="00FC6424" w:rsidRPr="008B7F94">
        <w:rPr>
          <w:lang w:val="en-US"/>
        </w:rPr>
        <w:t>Govardovskii</w:t>
      </w:r>
      <w:proofErr w:type="spellEnd"/>
      <w:r w:rsidR="00FC6424" w:rsidRPr="008B7F94">
        <w:rPr>
          <w:lang w:val="en-US"/>
        </w:rPr>
        <w:t xml:space="preserve"> VI, </w:t>
      </w:r>
      <w:proofErr w:type="spellStart"/>
      <w:r w:rsidR="00FC6424" w:rsidRPr="008B7F94">
        <w:rPr>
          <w:lang w:val="en-US"/>
        </w:rPr>
        <w:t>Kefalov</w:t>
      </w:r>
      <w:proofErr w:type="spellEnd"/>
      <w:r w:rsidR="00FC6424" w:rsidRPr="008B7F94">
        <w:rPr>
          <w:lang w:val="en-US"/>
        </w:rPr>
        <w:t xml:space="preserve"> VJ, </w:t>
      </w:r>
      <w:proofErr w:type="spellStart"/>
      <w:r w:rsidR="00FC6424" w:rsidRPr="008B7F94">
        <w:rPr>
          <w:lang w:val="en-US"/>
        </w:rPr>
        <w:t>Kisselev</w:t>
      </w:r>
      <w:proofErr w:type="spellEnd"/>
      <w:r w:rsidR="00FC6424" w:rsidRPr="008B7F94">
        <w:rPr>
          <w:lang w:val="en-US"/>
        </w:rPr>
        <w:t xml:space="preserve"> OG. G-protein </w:t>
      </w:r>
      <w:proofErr w:type="spellStart"/>
      <w:r w:rsidR="00FC6424" w:rsidRPr="008B7F94">
        <w:rPr>
          <w:lang w:val="en-US"/>
        </w:rPr>
        <w:t>betagamma</w:t>
      </w:r>
      <w:proofErr w:type="spellEnd"/>
      <w:r w:rsidR="00FC6424" w:rsidRPr="008B7F94">
        <w:rPr>
          <w:lang w:val="en-US"/>
        </w:rPr>
        <w:t xml:space="preserve">-complex is crucial for efficient </w:t>
      </w:r>
      <w:r w:rsidR="00FC6424" w:rsidRPr="008B7F94">
        <w:rPr>
          <w:lang w:val="en-US"/>
        </w:rPr>
        <w:tab/>
        <w:t xml:space="preserve">signal amplification in vision. J </w:t>
      </w:r>
      <w:proofErr w:type="spellStart"/>
      <w:proofErr w:type="gramStart"/>
      <w:r w:rsidR="00FC6424" w:rsidRPr="008B7F94">
        <w:rPr>
          <w:lang w:val="en-US"/>
        </w:rPr>
        <w:t>Neurosci</w:t>
      </w:r>
      <w:proofErr w:type="spellEnd"/>
      <w:r w:rsidR="00FC6424" w:rsidRPr="008B7F94">
        <w:rPr>
          <w:lang w:val="en-US"/>
        </w:rPr>
        <w:t xml:space="preserve">  2011</w:t>
      </w:r>
      <w:proofErr w:type="gramEnd"/>
      <w:r w:rsidR="00FC6424" w:rsidRPr="008B7F94">
        <w:rPr>
          <w:lang w:val="en-US"/>
        </w:rPr>
        <w:t xml:space="preserve">; 31:8067-77. &lt; </w:t>
      </w:r>
      <w:r w:rsidR="00FC6424" w:rsidRPr="008B7F94">
        <w:rPr>
          <w:rFonts w:eastAsia="Times New Roman"/>
          <w:lang w:val="en-US" w:eastAsia="ru-RU"/>
        </w:rPr>
        <w:t>PMID: 21632928&gt;</w:t>
      </w:r>
    </w:p>
    <w:p w:rsidR="00D03C79" w:rsidRPr="008B7F94" w:rsidRDefault="003461AF" w:rsidP="00D03C79">
      <w:pPr>
        <w:spacing w:after="120" w:line="360" w:lineRule="auto"/>
        <w:rPr>
          <w:lang w:val="en-US"/>
        </w:rPr>
      </w:pPr>
      <w:r w:rsidRPr="008B7F94">
        <w:rPr>
          <w:lang w:val="en-US"/>
        </w:rPr>
        <w:t>8</w:t>
      </w:r>
      <w:r w:rsidR="004B52D7" w:rsidRPr="008B7F94">
        <w:rPr>
          <w:lang w:val="en-US"/>
        </w:rPr>
        <w:t>.</w:t>
      </w:r>
      <w:r w:rsidRPr="008B7F94">
        <w:rPr>
          <w:lang w:val="en-US"/>
        </w:rPr>
        <w:t xml:space="preserve"> </w:t>
      </w:r>
      <w:r w:rsidR="00FC6424" w:rsidRPr="008B7F94">
        <w:rPr>
          <w:lang w:val="en-US"/>
        </w:rPr>
        <w:t xml:space="preserve">Hamer RD, Nicholas SC, </w:t>
      </w:r>
      <w:proofErr w:type="spellStart"/>
      <w:r w:rsidR="00FC6424" w:rsidRPr="008B7F94">
        <w:rPr>
          <w:lang w:val="en-US"/>
        </w:rPr>
        <w:t>Tranchina</w:t>
      </w:r>
      <w:proofErr w:type="spellEnd"/>
      <w:r w:rsidR="00FC6424" w:rsidRPr="008B7F94">
        <w:rPr>
          <w:lang w:val="en-US"/>
        </w:rPr>
        <w:t xml:space="preserve"> D, Lamb TD, </w:t>
      </w:r>
      <w:proofErr w:type="spellStart"/>
      <w:r w:rsidR="00FC6424" w:rsidRPr="008B7F94">
        <w:rPr>
          <w:lang w:val="en-US"/>
        </w:rPr>
        <w:t>Jarvinen</w:t>
      </w:r>
      <w:proofErr w:type="spellEnd"/>
      <w:r w:rsidR="00FC6424" w:rsidRPr="008B7F94">
        <w:rPr>
          <w:lang w:val="en-US"/>
        </w:rPr>
        <w:t xml:space="preserve"> JL. </w:t>
      </w:r>
      <w:proofErr w:type="gramStart"/>
      <w:r w:rsidR="00FC6424" w:rsidRPr="008B7F94">
        <w:rPr>
          <w:lang w:val="en-US"/>
        </w:rPr>
        <w:t>Toward a unified model of vertebrate rod phototransduction.</w:t>
      </w:r>
      <w:proofErr w:type="gramEnd"/>
      <w:r w:rsidR="00FC6424" w:rsidRPr="008B7F94">
        <w:rPr>
          <w:lang w:val="en-US"/>
        </w:rPr>
        <w:t xml:space="preserve"> Vis </w:t>
      </w:r>
      <w:proofErr w:type="spellStart"/>
      <w:r w:rsidR="00FC6424" w:rsidRPr="008B7F94">
        <w:rPr>
          <w:lang w:val="en-US"/>
        </w:rPr>
        <w:t>Neurosci</w:t>
      </w:r>
      <w:proofErr w:type="spellEnd"/>
      <w:r w:rsidR="00FC6424" w:rsidRPr="008B7F94">
        <w:rPr>
          <w:lang w:val="en-US"/>
        </w:rPr>
        <w:t xml:space="preserve"> 2005; 22:417-36. &lt; </w:t>
      </w:r>
      <w:r w:rsidR="00FC6424" w:rsidRPr="008B7F94">
        <w:rPr>
          <w:rFonts w:eastAsia="Times New Roman"/>
          <w:lang w:val="en-US" w:eastAsia="ru-RU"/>
        </w:rPr>
        <w:t>PMID: 16212700&gt;</w:t>
      </w:r>
    </w:p>
    <w:p w:rsidR="00FC6424" w:rsidRPr="008B7F94" w:rsidRDefault="003461AF" w:rsidP="00FC6424">
      <w:pPr>
        <w:spacing w:after="120" w:line="360" w:lineRule="auto"/>
        <w:rPr>
          <w:lang w:val="en-US"/>
        </w:rPr>
      </w:pPr>
      <w:r w:rsidRPr="008B7F94">
        <w:rPr>
          <w:lang w:val="en-US"/>
        </w:rPr>
        <w:t>9</w:t>
      </w:r>
      <w:r w:rsidR="004B52D7" w:rsidRPr="008B7F94">
        <w:rPr>
          <w:lang w:val="en-US"/>
        </w:rPr>
        <w:t>.</w:t>
      </w:r>
      <w:r w:rsidRPr="008B7F94">
        <w:rPr>
          <w:lang w:val="en-US"/>
        </w:rPr>
        <w:t xml:space="preserve"> </w:t>
      </w:r>
      <w:proofErr w:type="spellStart"/>
      <w:r w:rsidR="00FC6424" w:rsidRPr="008B7F94">
        <w:rPr>
          <w:lang w:val="en-US"/>
        </w:rPr>
        <w:t>Nikonov</w:t>
      </w:r>
      <w:proofErr w:type="spellEnd"/>
      <w:r w:rsidR="00FC6424" w:rsidRPr="008B7F94">
        <w:rPr>
          <w:lang w:val="en-US"/>
        </w:rPr>
        <w:t xml:space="preserve"> S, Lamb TD, Pugh EN, Jr. </w:t>
      </w:r>
      <w:proofErr w:type="gramStart"/>
      <w:r w:rsidR="00FC6424" w:rsidRPr="008B7F94">
        <w:rPr>
          <w:lang w:val="en-US"/>
        </w:rPr>
        <w:t>The role of steady phosphodiesterase activity in the kinetics and sensitivity of the light-adapted salamander rod photoresponse.</w:t>
      </w:r>
      <w:proofErr w:type="gramEnd"/>
      <w:r w:rsidR="00FC6424" w:rsidRPr="008B7F94">
        <w:rPr>
          <w:lang w:val="en-US"/>
        </w:rPr>
        <w:t xml:space="preserve"> J Gen </w:t>
      </w:r>
      <w:proofErr w:type="spellStart"/>
      <w:r w:rsidR="00FC6424" w:rsidRPr="008B7F94">
        <w:rPr>
          <w:lang w:val="en-US"/>
        </w:rPr>
        <w:t>Physiol</w:t>
      </w:r>
      <w:proofErr w:type="spellEnd"/>
      <w:r w:rsidR="00FC6424" w:rsidRPr="008B7F94">
        <w:rPr>
          <w:lang w:val="en-US"/>
        </w:rPr>
        <w:t xml:space="preserve"> 2000; 116:795-824. &lt; </w:t>
      </w:r>
      <w:r w:rsidR="00FC6424" w:rsidRPr="008B7F94">
        <w:rPr>
          <w:rFonts w:eastAsia="Times New Roman"/>
          <w:lang w:val="en-US" w:eastAsia="ru-RU"/>
        </w:rPr>
        <w:t>PMID: 11099349&gt;</w:t>
      </w:r>
    </w:p>
    <w:p w:rsidR="00FC6424" w:rsidRPr="008B7F94" w:rsidRDefault="003461AF" w:rsidP="00FC6424">
      <w:pPr>
        <w:spacing w:after="120" w:line="360" w:lineRule="auto"/>
        <w:rPr>
          <w:rFonts w:eastAsia="Times New Roman"/>
          <w:lang w:val="en-US" w:eastAsia="ru-RU"/>
        </w:rPr>
      </w:pPr>
      <w:r w:rsidRPr="008B7F94">
        <w:rPr>
          <w:lang w:val="en-US"/>
        </w:rPr>
        <w:t>10</w:t>
      </w:r>
      <w:r w:rsidR="004B52D7" w:rsidRPr="008B7F94">
        <w:rPr>
          <w:lang w:val="en-US"/>
        </w:rPr>
        <w:t>.</w:t>
      </w:r>
      <w:r w:rsidRPr="008B7F94">
        <w:rPr>
          <w:lang w:val="en-US"/>
        </w:rPr>
        <w:t xml:space="preserve"> </w:t>
      </w:r>
      <w:r w:rsidR="00FC6424" w:rsidRPr="008B7F94">
        <w:rPr>
          <w:lang w:val="en-US"/>
        </w:rPr>
        <w:t xml:space="preserve">van </w:t>
      </w:r>
      <w:proofErr w:type="spellStart"/>
      <w:r w:rsidR="00FC6424" w:rsidRPr="008B7F94">
        <w:rPr>
          <w:lang w:val="en-US"/>
        </w:rPr>
        <w:t>Hateren</w:t>
      </w:r>
      <w:proofErr w:type="spellEnd"/>
      <w:r w:rsidR="00FC6424" w:rsidRPr="008B7F94">
        <w:rPr>
          <w:lang w:val="en-US"/>
        </w:rPr>
        <w:t xml:space="preserve"> JH, Lamb TD. The photocurrent response of human cones is fast and monophasic. BMC </w:t>
      </w:r>
      <w:proofErr w:type="spellStart"/>
      <w:r w:rsidR="00FC6424" w:rsidRPr="008B7F94">
        <w:rPr>
          <w:lang w:val="en-US"/>
        </w:rPr>
        <w:t>Neurosci</w:t>
      </w:r>
      <w:proofErr w:type="spellEnd"/>
      <w:r w:rsidR="00FC6424" w:rsidRPr="008B7F94">
        <w:rPr>
          <w:lang w:val="en-US"/>
        </w:rPr>
        <w:t xml:space="preserve"> 2006; 7:34 &lt; </w:t>
      </w:r>
      <w:r w:rsidR="00FC6424" w:rsidRPr="008B7F94">
        <w:rPr>
          <w:rFonts w:eastAsia="Times New Roman"/>
          <w:lang w:val="en-US" w:eastAsia="ru-RU"/>
        </w:rPr>
        <w:t>PMID: 16626487&gt;</w:t>
      </w:r>
    </w:p>
    <w:p w:rsidR="003A715B" w:rsidRPr="008B7F94" w:rsidRDefault="003A715B" w:rsidP="003A715B">
      <w:pPr>
        <w:spacing w:after="120" w:line="360" w:lineRule="auto"/>
        <w:rPr>
          <w:lang w:val="en-US"/>
        </w:rPr>
      </w:pPr>
      <w:r w:rsidRPr="008B7F94">
        <w:rPr>
          <w:lang w:val="en-US"/>
        </w:rPr>
        <w:t>11</w:t>
      </w:r>
      <w:r w:rsidR="004B52D7" w:rsidRPr="008B7F94">
        <w:rPr>
          <w:lang w:val="en-US"/>
        </w:rPr>
        <w:t>.</w:t>
      </w:r>
      <w:r w:rsidRPr="008B7F94">
        <w:rPr>
          <w:lang w:val="en-US"/>
        </w:rPr>
        <w:t xml:space="preserve"> </w:t>
      </w:r>
      <w:proofErr w:type="spellStart"/>
      <w:r w:rsidRPr="008B7F94">
        <w:rPr>
          <w:lang w:val="en-US"/>
        </w:rPr>
        <w:t>Forti</w:t>
      </w:r>
      <w:proofErr w:type="spellEnd"/>
      <w:r w:rsidRPr="008B7F94">
        <w:rPr>
          <w:lang w:val="en-US"/>
        </w:rPr>
        <w:t xml:space="preserve"> S, </w:t>
      </w:r>
      <w:proofErr w:type="spellStart"/>
      <w:r w:rsidRPr="008B7F94">
        <w:rPr>
          <w:lang w:val="en-US"/>
        </w:rPr>
        <w:t>Menini</w:t>
      </w:r>
      <w:proofErr w:type="spellEnd"/>
      <w:r w:rsidRPr="008B7F94">
        <w:rPr>
          <w:lang w:val="en-US"/>
        </w:rPr>
        <w:t xml:space="preserve"> A, </w:t>
      </w:r>
      <w:proofErr w:type="spellStart"/>
      <w:r w:rsidRPr="008B7F94">
        <w:rPr>
          <w:lang w:val="en-US"/>
        </w:rPr>
        <w:t>Rispoli</w:t>
      </w:r>
      <w:proofErr w:type="spellEnd"/>
      <w:r w:rsidRPr="008B7F94">
        <w:rPr>
          <w:lang w:val="en-US"/>
        </w:rPr>
        <w:t xml:space="preserve"> G, Torre V. Kinetics of phototransduction in retinal rods of the newt </w:t>
      </w:r>
      <w:proofErr w:type="spellStart"/>
      <w:r w:rsidRPr="008B7F94">
        <w:rPr>
          <w:i/>
          <w:lang w:val="en-US"/>
        </w:rPr>
        <w:t>Triturus</w:t>
      </w:r>
      <w:proofErr w:type="spellEnd"/>
      <w:r w:rsidRPr="008B7F94">
        <w:rPr>
          <w:i/>
          <w:lang w:val="en-US"/>
        </w:rPr>
        <w:t xml:space="preserve"> </w:t>
      </w:r>
      <w:proofErr w:type="spellStart"/>
      <w:r w:rsidRPr="008B7F94">
        <w:rPr>
          <w:i/>
          <w:lang w:val="en-US"/>
        </w:rPr>
        <w:t>cristatus</w:t>
      </w:r>
      <w:proofErr w:type="spellEnd"/>
      <w:r w:rsidRPr="008B7F94">
        <w:rPr>
          <w:lang w:val="en-US"/>
        </w:rPr>
        <w:t xml:space="preserve">. </w:t>
      </w:r>
      <w:proofErr w:type="gramStart"/>
      <w:r w:rsidRPr="008B7F94">
        <w:rPr>
          <w:lang w:val="en-US"/>
        </w:rPr>
        <w:t xml:space="preserve">J </w:t>
      </w:r>
      <w:proofErr w:type="spellStart"/>
      <w:r w:rsidRPr="008B7F94">
        <w:rPr>
          <w:lang w:val="en-US"/>
        </w:rPr>
        <w:t>Physiol</w:t>
      </w:r>
      <w:proofErr w:type="spellEnd"/>
      <w:r w:rsidRPr="008B7F94">
        <w:rPr>
          <w:lang w:val="en-US"/>
        </w:rPr>
        <w:t xml:space="preserve"> 1989; 419:265-95.</w:t>
      </w:r>
      <w:proofErr w:type="gramEnd"/>
      <w:r w:rsidRPr="008B7F94">
        <w:rPr>
          <w:lang w:val="en-US"/>
        </w:rPr>
        <w:t xml:space="preserve"> &lt; </w:t>
      </w:r>
      <w:r w:rsidRPr="008B7F94">
        <w:rPr>
          <w:rFonts w:eastAsia="Times New Roman"/>
          <w:lang w:val="en-US" w:eastAsia="ru-RU"/>
        </w:rPr>
        <w:t>PMID: 2621632&gt;</w:t>
      </w:r>
    </w:p>
    <w:p w:rsidR="003A715B" w:rsidRPr="008B7F94" w:rsidRDefault="003A715B" w:rsidP="003A715B">
      <w:pPr>
        <w:spacing w:after="120" w:line="360" w:lineRule="auto"/>
        <w:rPr>
          <w:lang w:val="en-US"/>
        </w:rPr>
      </w:pPr>
      <w:r w:rsidRPr="008B7F94">
        <w:rPr>
          <w:lang w:val="en-US"/>
        </w:rPr>
        <w:t>12</w:t>
      </w:r>
      <w:r w:rsidR="004B52D7" w:rsidRPr="008B7F94">
        <w:rPr>
          <w:lang w:val="en-US"/>
        </w:rPr>
        <w:t>.</w:t>
      </w:r>
      <w:r w:rsidRPr="008B7F94">
        <w:rPr>
          <w:lang w:val="en-US"/>
        </w:rPr>
        <w:t xml:space="preserve"> Hamer RD. Analysis of Ca</w:t>
      </w:r>
      <w:r w:rsidRPr="008B7F94">
        <w:rPr>
          <w:vertAlign w:val="superscript"/>
          <w:lang w:val="en-US"/>
        </w:rPr>
        <w:t>++</w:t>
      </w:r>
      <w:r w:rsidRPr="008B7F94">
        <w:rPr>
          <w:lang w:val="en-US"/>
        </w:rPr>
        <w:t xml:space="preserve">-dependent gain changes in PDE activation in vertebrate rod phototransduction. Mol </w:t>
      </w:r>
      <w:proofErr w:type="gramStart"/>
      <w:r w:rsidRPr="008B7F94">
        <w:rPr>
          <w:lang w:val="en-US"/>
        </w:rPr>
        <w:t>Vis  2000</w:t>
      </w:r>
      <w:proofErr w:type="gramEnd"/>
      <w:r w:rsidRPr="008B7F94">
        <w:rPr>
          <w:lang w:val="en-US"/>
        </w:rPr>
        <w:t xml:space="preserve">; 6:265-86. &lt; </w:t>
      </w:r>
      <w:r w:rsidRPr="008B7F94">
        <w:rPr>
          <w:rFonts w:eastAsia="Times New Roman"/>
          <w:lang w:val="en-US" w:eastAsia="ru-RU"/>
        </w:rPr>
        <w:t>PMID: 11139649&gt;</w:t>
      </w:r>
    </w:p>
    <w:p w:rsidR="003A715B" w:rsidRPr="008B7F94" w:rsidRDefault="003A715B" w:rsidP="003A715B">
      <w:pPr>
        <w:spacing w:after="120" w:line="360" w:lineRule="auto"/>
        <w:rPr>
          <w:lang w:val="en-US"/>
        </w:rPr>
      </w:pPr>
      <w:r w:rsidRPr="008B7F94">
        <w:rPr>
          <w:lang w:val="en-US"/>
        </w:rPr>
        <w:lastRenderedPageBreak/>
        <w:t>13</w:t>
      </w:r>
      <w:r w:rsidR="004B52D7" w:rsidRPr="008B7F94">
        <w:rPr>
          <w:lang w:val="en-US"/>
        </w:rPr>
        <w:t>.</w:t>
      </w:r>
      <w:r w:rsidRPr="008B7F94">
        <w:rPr>
          <w:lang w:val="en-US"/>
        </w:rPr>
        <w:t xml:space="preserve"> Hamer RD. Computational analysis of vertebrate phototransduction: combined quantitative and qualitative modeling of dark- and light-adapted responses in amphibian rods. Vis </w:t>
      </w:r>
      <w:proofErr w:type="spellStart"/>
      <w:r w:rsidRPr="008B7F94">
        <w:rPr>
          <w:lang w:val="en-US"/>
        </w:rPr>
        <w:t>Neurosci</w:t>
      </w:r>
      <w:proofErr w:type="spellEnd"/>
      <w:r w:rsidRPr="008B7F94">
        <w:rPr>
          <w:lang w:val="en-US"/>
        </w:rPr>
        <w:t xml:space="preserve"> 2000; 17:679-99. &lt; </w:t>
      </w:r>
      <w:r w:rsidRPr="008B7F94">
        <w:rPr>
          <w:rFonts w:eastAsia="Times New Roman"/>
          <w:lang w:val="en-US" w:eastAsia="ru-RU"/>
        </w:rPr>
        <w:t>PMID: 11153649&gt;</w:t>
      </w:r>
    </w:p>
    <w:p w:rsidR="003A715B" w:rsidRPr="008B7F94" w:rsidRDefault="003A715B" w:rsidP="003A715B">
      <w:pPr>
        <w:spacing w:after="120" w:line="360" w:lineRule="auto"/>
        <w:rPr>
          <w:lang w:val="en-US"/>
        </w:rPr>
      </w:pPr>
      <w:r w:rsidRPr="008B7F94">
        <w:rPr>
          <w:lang w:val="en-US"/>
        </w:rPr>
        <w:t>14</w:t>
      </w:r>
      <w:r w:rsidR="004B52D7" w:rsidRPr="008B7F94">
        <w:rPr>
          <w:lang w:val="en-US"/>
        </w:rPr>
        <w:t>.</w:t>
      </w:r>
      <w:r w:rsidRPr="008B7F94">
        <w:rPr>
          <w:lang w:val="en-US"/>
        </w:rPr>
        <w:t xml:space="preserve"> Hamer RD, Tyler CW. Phototransduction: modeling the primate cone flash response. </w:t>
      </w:r>
      <w:proofErr w:type="gramStart"/>
      <w:r w:rsidRPr="008B7F94">
        <w:rPr>
          <w:lang w:val="en-US"/>
        </w:rPr>
        <w:t xml:space="preserve">Vis </w:t>
      </w:r>
      <w:proofErr w:type="spellStart"/>
      <w:r w:rsidRPr="008B7F94">
        <w:rPr>
          <w:lang w:val="en-US"/>
        </w:rPr>
        <w:t>Neurosci</w:t>
      </w:r>
      <w:proofErr w:type="spellEnd"/>
      <w:r w:rsidRPr="008B7F94">
        <w:rPr>
          <w:lang w:val="en-US"/>
        </w:rPr>
        <w:t xml:space="preserve"> 1995; 12:1063-1082.</w:t>
      </w:r>
      <w:proofErr w:type="gramEnd"/>
      <w:r w:rsidRPr="008B7F94">
        <w:rPr>
          <w:lang w:val="en-US"/>
        </w:rPr>
        <w:t xml:space="preserve"> &lt; </w:t>
      </w:r>
      <w:r w:rsidRPr="008B7F94">
        <w:rPr>
          <w:rFonts w:eastAsia="Times New Roman"/>
          <w:lang w:val="en-US" w:eastAsia="ru-RU"/>
        </w:rPr>
        <w:t>PMID: 8962827&gt;</w:t>
      </w:r>
    </w:p>
    <w:p w:rsidR="003A715B" w:rsidRPr="008B7F94" w:rsidRDefault="003A715B" w:rsidP="003A715B">
      <w:pPr>
        <w:spacing w:after="120" w:line="360" w:lineRule="auto"/>
        <w:rPr>
          <w:lang w:val="en-US"/>
        </w:rPr>
      </w:pPr>
      <w:r w:rsidRPr="008B7F94">
        <w:rPr>
          <w:lang w:val="en-US"/>
        </w:rPr>
        <w:t>15</w:t>
      </w:r>
      <w:r w:rsidR="004B52D7" w:rsidRPr="008B7F94">
        <w:rPr>
          <w:lang w:val="en-US"/>
        </w:rPr>
        <w:t>.</w:t>
      </w:r>
      <w:r w:rsidRPr="008B7F94">
        <w:rPr>
          <w:lang w:val="en-US"/>
        </w:rPr>
        <w:t xml:space="preserve"> Hamer RD, Nicholas SC, </w:t>
      </w:r>
      <w:proofErr w:type="spellStart"/>
      <w:r w:rsidRPr="008B7F94">
        <w:rPr>
          <w:lang w:val="en-US"/>
        </w:rPr>
        <w:t>Tranchina</w:t>
      </w:r>
      <w:proofErr w:type="spellEnd"/>
      <w:r w:rsidRPr="008B7F94">
        <w:rPr>
          <w:lang w:val="en-US"/>
        </w:rPr>
        <w:t xml:space="preserve"> D, </w:t>
      </w:r>
      <w:proofErr w:type="spellStart"/>
      <w:r w:rsidRPr="008B7F94">
        <w:rPr>
          <w:lang w:val="en-US"/>
        </w:rPr>
        <w:t>Liebman</w:t>
      </w:r>
      <w:proofErr w:type="spellEnd"/>
      <w:r w:rsidRPr="008B7F94">
        <w:rPr>
          <w:lang w:val="en-US"/>
        </w:rPr>
        <w:t xml:space="preserve"> PA, Lamb TD. Multiple steps of phosphorylation of activated rhodopsin can account for the reproducibility of vertebrate </w:t>
      </w:r>
      <w:r w:rsidRPr="008B7F94">
        <w:rPr>
          <w:lang w:val="en-US"/>
        </w:rPr>
        <w:tab/>
        <w:t xml:space="preserve">rod single-photon responses. J Gen </w:t>
      </w:r>
      <w:proofErr w:type="spellStart"/>
      <w:r w:rsidRPr="008B7F94">
        <w:rPr>
          <w:lang w:val="en-US"/>
        </w:rPr>
        <w:t>Physiol</w:t>
      </w:r>
      <w:proofErr w:type="spellEnd"/>
      <w:r w:rsidRPr="008B7F94">
        <w:rPr>
          <w:lang w:val="en-US"/>
        </w:rPr>
        <w:t xml:space="preserve"> 2003; 122:419-44. &lt; </w:t>
      </w:r>
      <w:r w:rsidRPr="008B7F94">
        <w:rPr>
          <w:rFonts w:eastAsia="Times New Roman"/>
          <w:lang w:val="en-US" w:eastAsia="ru-RU"/>
        </w:rPr>
        <w:t>PMID: 12975449&gt;</w:t>
      </w:r>
    </w:p>
    <w:p w:rsidR="003A715B" w:rsidRPr="008B7F94" w:rsidRDefault="003A715B" w:rsidP="003A715B">
      <w:pPr>
        <w:spacing w:after="120" w:line="360" w:lineRule="auto"/>
        <w:rPr>
          <w:lang w:val="en-US"/>
        </w:rPr>
      </w:pPr>
      <w:r w:rsidRPr="008B7F94">
        <w:rPr>
          <w:lang w:val="en-US"/>
        </w:rPr>
        <w:t>16</w:t>
      </w:r>
      <w:r w:rsidR="004B52D7" w:rsidRPr="008B7F94">
        <w:rPr>
          <w:lang w:val="en-US"/>
        </w:rPr>
        <w:t>.</w:t>
      </w:r>
      <w:r w:rsidRPr="008B7F94">
        <w:rPr>
          <w:lang w:val="en-US"/>
        </w:rPr>
        <w:t xml:space="preserve"> </w:t>
      </w:r>
      <w:proofErr w:type="spellStart"/>
      <w:r w:rsidRPr="008B7F94">
        <w:rPr>
          <w:lang w:val="en-US"/>
        </w:rPr>
        <w:t>Hennig</w:t>
      </w:r>
      <w:proofErr w:type="spellEnd"/>
      <w:r w:rsidRPr="008B7F94">
        <w:rPr>
          <w:lang w:val="en-US"/>
        </w:rPr>
        <w:t xml:space="preserve"> MH, </w:t>
      </w:r>
      <w:proofErr w:type="spellStart"/>
      <w:r w:rsidRPr="008B7F94">
        <w:rPr>
          <w:lang w:val="en-US"/>
        </w:rPr>
        <w:t>Funke</w:t>
      </w:r>
      <w:proofErr w:type="spellEnd"/>
      <w:r w:rsidRPr="008B7F94">
        <w:rPr>
          <w:lang w:val="en-US"/>
        </w:rPr>
        <w:t xml:space="preserve"> K, </w:t>
      </w:r>
      <w:proofErr w:type="spellStart"/>
      <w:r w:rsidRPr="008B7F94">
        <w:rPr>
          <w:lang w:val="en-US"/>
        </w:rPr>
        <w:t>Wörgötter</w:t>
      </w:r>
      <w:proofErr w:type="spellEnd"/>
      <w:r w:rsidRPr="008B7F94">
        <w:rPr>
          <w:lang w:val="en-US"/>
        </w:rPr>
        <w:t xml:space="preserve"> F. </w:t>
      </w:r>
      <w:proofErr w:type="gramStart"/>
      <w:r w:rsidRPr="008B7F94">
        <w:rPr>
          <w:lang w:val="en-US"/>
        </w:rPr>
        <w:t xml:space="preserve">The influence of different retinal </w:t>
      </w:r>
      <w:proofErr w:type="spellStart"/>
      <w:r w:rsidRPr="008B7F94">
        <w:rPr>
          <w:lang w:val="en-US"/>
        </w:rPr>
        <w:t>subcircuits</w:t>
      </w:r>
      <w:proofErr w:type="spellEnd"/>
      <w:r w:rsidRPr="008B7F94">
        <w:rPr>
          <w:lang w:val="en-US"/>
        </w:rPr>
        <w:t xml:space="preserve"> on the nonlinearity of ganglion cell behavior.</w:t>
      </w:r>
      <w:proofErr w:type="gramEnd"/>
      <w:r w:rsidRPr="008B7F94">
        <w:rPr>
          <w:lang w:val="en-US"/>
        </w:rPr>
        <w:t xml:space="preserve"> J </w:t>
      </w:r>
      <w:proofErr w:type="spellStart"/>
      <w:r w:rsidRPr="008B7F94">
        <w:rPr>
          <w:lang w:val="en-US"/>
        </w:rPr>
        <w:t>Neurosci</w:t>
      </w:r>
      <w:proofErr w:type="spellEnd"/>
      <w:r w:rsidRPr="008B7F94">
        <w:rPr>
          <w:lang w:val="en-US"/>
        </w:rPr>
        <w:t xml:space="preserve"> 2002; 22:8726–38. &lt; </w:t>
      </w:r>
      <w:r w:rsidRPr="008B7F94">
        <w:rPr>
          <w:rFonts w:eastAsia="Times New Roman"/>
          <w:lang w:val="en-US" w:eastAsia="ru-RU"/>
        </w:rPr>
        <w:t>PMID: 12351748&gt;</w:t>
      </w:r>
    </w:p>
    <w:p w:rsidR="003A715B" w:rsidRPr="008B7F94" w:rsidRDefault="003A715B" w:rsidP="003A715B">
      <w:pPr>
        <w:spacing w:after="120" w:line="360" w:lineRule="auto"/>
        <w:rPr>
          <w:lang w:val="en-US"/>
        </w:rPr>
      </w:pPr>
      <w:r w:rsidRPr="008B7F94">
        <w:rPr>
          <w:lang w:val="en-US"/>
        </w:rPr>
        <w:t>17</w:t>
      </w:r>
      <w:r w:rsidR="008D42F0" w:rsidRPr="008B7F94">
        <w:rPr>
          <w:lang w:val="en-US"/>
        </w:rPr>
        <w:t>.</w:t>
      </w:r>
      <w:r w:rsidRPr="008B7F94">
        <w:rPr>
          <w:lang w:val="en-US"/>
        </w:rPr>
        <w:t xml:space="preserve"> </w:t>
      </w:r>
      <w:proofErr w:type="spellStart"/>
      <w:r w:rsidRPr="008B7F94">
        <w:rPr>
          <w:lang w:val="en-US"/>
        </w:rPr>
        <w:t>Hennig</w:t>
      </w:r>
      <w:proofErr w:type="spellEnd"/>
      <w:r w:rsidRPr="008B7F94">
        <w:rPr>
          <w:lang w:val="en-US"/>
        </w:rPr>
        <w:t xml:space="preserve"> MH, </w:t>
      </w:r>
      <w:proofErr w:type="spellStart"/>
      <w:r w:rsidRPr="008B7F94">
        <w:rPr>
          <w:lang w:val="en-US"/>
        </w:rPr>
        <w:t>Wörgötter</w:t>
      </w:r>
      <w:proofErr w:type="spellEnd"/>
      <w:r w:rsidRPr="008B7F94">
        <w:rPr>
          <w:lang w:val="en-US"/>
        </w:rPr>
        <w:t xml:space="preserve"> F. Effects of </w:t>
      </w:r>
      <w:proofErr w:type="spellStart"/>
      <w:r w:rsidRPr="008B7F94">
        <w:rPr>
          <w:lang w:val="en-US"/>
        </w:rPr>
        <w:t>fixational</w:t>
      </w:r>
      <w:proofErr w:type="spellEnd"/>
      <w:r w:rsidRPr="008B7F94">
        <w:rPr>
          <w:lang w:val="en-US"/>
        </w:rPr>
        <w:t xml:space="preserve"> eye movements on retinal ganglion </w:t>
      </w:r>
      <w:r w:rsidRPr="008B7F94">
        <w:rPr>
          <w:lang w:val="en-US"/>
        </w:rPr>
        <w:tab/>
        <w:t xml:space="preserve">cell responses: a modelling study. Front </w:t>
      </w:r>
      <w:proofErr w:type="spellStart"/>
      <w:r w:rsidRPr="008B7F94">
        <w:rPr>
          <w:lang w:val="en-US"/>
        </w:rPr>
        <w:t>Comput</w:t>
      </w:r>
      <w:proofErr w:type="spellEnd"/>
      <w:r w:rsidRPr="008B7F94">
        <w:rPr>
          <w:lang w:val="en-US"/>
        </w:rPr>
        <w:t xml:space="preserve"> </w:t>
      </w:r>
      <w:proofErr w:type="spellStart"/>
      <w:proofErr w:type="gramStart"/>
      <w:r w:rsidRPr="008B7F94">
        <w:rPr>
          <w:lang w:val="en-US"/>
        </w:rPr>
        <w:t>Neurosci</w:t>
      </w:r>
      <w:proofErr w:type="spellEnd"/>
      <w:r w:rsidRPr="008B7F94">
        <w:rPr>
          <w:lang w:val="en-US"/>
        </w:rPr>
        <w:t xml:space="preserve">  2007</w:t>
      </w:r>
      <w:proofErr w:type="gramEnd"/>
      <w:r w:rsidRPr="008B7F94">
        <w:rPr>
          <w:lang w:val="en-US"/>
        </w:rPr>
        <w:t xml:space="preserve">; 1:1-12. &lt; </w:t>
      </w:r>
      <w:r w:rsidRPr="008B7F94">
        <w:rPr>
          <w:rFonts w:eastAsia="Times New Roman"/>
          <w:lang w:val="en-US" w:eastAsia="ru-RU"/>
        </w:rPr>
        <w:t>PMID: 18946524&gt;</w:t>
      </w:r>
    </w:p>
    <w:p w:rsidR="003A715B" w:rsidRPr="008B7F94" w:rsidRDefault="003A715B" w:rsidP="003A715B">
      <w:pPr>
        <w:spacing w:after="120" w:line="360" w:lineRule="auto"/>
        <w:rPr>
          <w:lang w:val="en-US"/>
        </w:rPr>
      </w:pPr>
      <w:r w:rsidRPr="008B7F94">
        <w:rPr>
          <w:lang w:val="en-US"/>
        </w:rPr>
        <w:t>18</w:t>
      </w:r>
      <w:r w:rsidR="008D42F0" w:rsidRPr="008B7F94">
        <w:rPr>
          <w:lang w:val="en-US"/>
        </w:rPr>
        <w:t>.</w:t>
      </w:r>
      <w:r w:rsidRPr="008B7F94">
        <w:rPr>
          <w:lang w:val="en-US"/>
        </w:rPr>
        <w:t xml:space="preserve"> </w:t>
      </w:r>
      <w:proofErr w:type="spellStart"/>
      <w:r w:rsidRPr="008B7F94">
        <w:rPr>
          <w:lang w:val="en-US"/>
        </w:rPr>
        <w:t>Invergo</w:t>
      </w:r>
      <w:proofErr w:type="spellEnd"/>
      <w:r w:rsidRPr="008B7F94">
        <w:rPr>
          <w:lang w:val="en-US"/>
        </w:rPr>
        <w:t xml:space="preserve"> BM, </w:t>
      </w:r>
      <w:proofErr w:type="spellStart"/>
      <w:r w:rsidRPr="008B7F94">
        <w:rPr>
          <w:lang w:val="en-US"/>
        </w:rPr>
        <w:t>Montanucci</w:t>
      </w:r>
      <w:proofErr w:type="spellEnd"/>
      <w:r w:rsidRPr="008B7F94">
        <w:rPr>
          <w:lang w:val="en-US"/>
        </w:rPr>
        <w:t xml:space="preserve"> L, Koch KW, </w:t>
      </w:r>
      <w:proofErr w:type="spellStart"/>
      <w:r w:rsidRPr="008B7F94">
        <w:rPr>
          <w:lang w:val="en-US"/>
        </w:rPr>
        <w:t>Bertranpetit</w:t>
      </w:r>
      <w:proofErr w:type="spellEnd"/>
      <w:r w:rsidRPr="008B7F94">
        <w:rPr>
          <w:lang w:val="en-US"/>
        </w:rPr>
        <w:t xml:space="preserve"> J A, </w:t>
      </w:r>
      <w:proofErr w:type="spellStart"/>
      <w:r w:rsidRPr="008B7F94">
        <w:rPr>
          <w:lang w:val="en-US"/>
        </w:rPr>
        <w:t>Dell'Orco</w:t>
      </w:r>
      <w:proofErr w:type="spellEnd"/>
      <w:r w:rsidRPr="008B7F94">
        <w:rPr>
          <w:lang w:val="en-US"/>
        </w:rPr>
        <w:t xml:space="preserve"> D. Exploring the rate-limiting steps in visual phototransduction recovery by bottom-up kinetic modeling. </w:t>
      </w:r>
      <w:proofErr w:type="gramStart"/>
      <w:r w:rsidRPr="008B7F94">
        <w:rPr>
          <w:lang w:val="en-US"/>
        </w:rPr>
        <w:t xml:space="preserve">Cell </w:t>
      </w:r>
      <w:proofErr w:type="spellStart"/>
      <w:r w:rsidRPr="008B7F94">
        <w:rPr>
          <w:lang w:val="en-US"/>
        </w:rPr>
        <w:t>Commun</w:t>
      </w:r>
      <w:proofErr w:type="spellEnd"/>
      <w:r w:rsidRPr="008B7F94">
        <w:rPr>
          <w:lang w:val="en-US"/>
        </w:rPr>
        <w:t xml:space="preserve"> Signal 2013; 11:36.</w:t>
      </w:r>
      <w:proofErr w:type="gramEnd"/>
      <w:r w:rsidRPr="008B7F94">
        <w:rPr>
          <w:lang w:val="en-US"/>
        </w:rPr>
        <w:t xml:space="preserve"> &lt; </w:t>
      </w:r>
      <w:r w:rsidRPr="008B7F94">
        <w:rPr>
          <w:rFonts w:eastAsia="Times New Roman"/>
          <w:lang w:val="en-US" w:eastAsia="ru-RU"/>
        </w:rPr>
        <w:t>PMID: 23693154&gt;</w:t>
      </w:r>
      <w:r w:rsidRPr="008B7F94">
        <w:rPr>
          <w:lang w:val="en-US"/>
        </w:rPr>
        <w:t xml:space="preserve"> </w:t>
      </w:r>
    </w:p>
    <w:p w:rsidR="003A715B" w:rsidRPr="008B7F94" w:rsidRDefault="003A715B" w:rsidP="003A715B">
      <w:pPr>
        <w:spacing w:after="120" w:line="360" w:lineRule="auto"/>
        <w:rPr>
          <w:lang w:val="en-US"/>
        </w:rPr>
      </w:pPr>
      <w:r w:rsidRPr="008B7F94">
        <w:rPr>
          <w:lang w:val="en-US"/>
        </w:rPr>
        <w:t>19</w:t>
      </w:r>
      <w:r w:rsidR="008D42F0" w:rsidRPr="008B7F94">
        <w:rPr>
          <w:lang w:val="en-US"/>
        </w:rPr>
        <w:t>.</w:t>
      </w:r>
      <w:r w:rsidRPr="008B7F94">
        <w:rPr>
          <w:lang w:val="en-US"/>
        </w:rPr>
        <w:t xml:space="preserve"> </w:t>
      </w:r>
      <w:proofErr w:type="spellStart"/>
      <w:r w:rsidRPr="008B7F94">
        <w:rPr>
          <w:lang w:val="en-US"/>
        </w:rPr>
        <w:t>Invergo</w:t>
      </w:r>
      <w:proofErr w:type="spellEnd"/>
      <w:r w:rsidRPr="008B7F94">
        <w:rPr>
          <w:lang w:val="en-US"/>
        </w:rPr>
        <w:t xml:space="preserve"> BM, </w:t>
      </w:r>
      <w:proofErr w:type="spellStart"/>
      <w:r w:rsidRPr="008B7F94">
        <w:rPr>
          <w:lang w:val="en-US"/>
        </w:rPr>
        <w:t>Dell'Orco</w:t>
      </w:r>
      <w:proofErr w:type="spellEnd"/>
      <w:r w:rsidRPr="008B7F94">
        <w:rPr>
          <w:lang w:val="en-US"/>
        </w:rPr>
        <w:t xml:space="preserve"> D, </w:t>
      </w:r>
      <w:proofErr w:type="spellStart"/>
      <w:r w:rsidRPr="008B7F94">
        <w:rPr>
          <w:lang w:val="en-US"/>
        </w:rPr>
        <w:t>Montanucci</w:t>
      </w:r>
      <w:proofErr w:type="spellEnd"/>
      <w:r w:rsidRPr="008B7F94">
        <w:rPr>
          <w:lang w:val="en-US"/>
        </w:rPr>
        <w:t xml:space="preserve"> L, Koch KW, </w:t>
      </w:r>
      <w:proofErr w:type="spellStart"/>
      <w:r w:rsidRPr="008B7F94">
        <w:rPr>
          <w:lang w:val="en-US"/>
        </w:rPr>
        <w:t>Bertranpetit</w:t>
      </w:r>
      <w:proofErr w:type="spellEnd"/>
      <w:r w:rsidRPr="008B7F94">
        <w:rPr>
          <w:lang w:val="en-US"/>
        </w:rPr>
        <w:t xml:space="preserve"> J. </w:t>
      </w:r>
      <w:proofErr w:type="gramStart"/>
      <w:r w:rsidRPr="008B7F94">
        <w:rPr>
          <w:lang w:val="en-US"/>
        </w:rPr>
        <w:t>A comprehensive model of the phototransduction cascade in mouse rod cells.</w:t>
      </w:r>
      <w:proofErr w:type="gramEnd"/>
      <w:r w:rsidRPr="008B7F94">
        <w:rPr>
          <w:lang w:val="en-US"/>
        </w:rPr>
        <w:t xml:space="preserve"> Mol </w:t>
      </w:r>
      <w:proofErr w:type="spellStart"/>
      <w:r w:rsidRPr="008B7F94">
        <w:rPr>
          <w:lang w:val="en-US"/>
        </w:rPr>
        <w:t>Biosyst</w:t>
      </w:r>
      <w:proofErr w:type="spellEnd"/>
      <w:r w:rsidRPr="008B7F94">
        <w:rPr>
          <w:lang w:val="en-US"/>
        </w:rPr>
        <w:t xml:space="preserve"> 2014; 10:1481-9. &lt; </w:t>
      </w:r>
      <w:r w:rsidRPr="008B7F94">
        <w:rPr>
          <w:rFonts w:eastAsia="Times New Roman"/>
          <w:lang w:val="en-US" w:eastAsia="ru-RU"/>
        </w:rPr>
        <w:t>PMID: 24675755&gt;</w:t>
      </w:r>
    </w:p>
    <w:p w:rsidR="003A715B" w:rsidRPr="008B7F94" w:rsidRDefault="003A715B" w:rsidP="003A715B">
      <w:pPr>
        <w:spacing w:after="120" w:line="360" w:lineRule="auto"/>
        <w:rPr>
          <w:lang w:val="en-US"/>
        </w:rPr>
      </w:pPr>
      <w:r w:rsidRPr="008B7F94">
        <w:rPr>
          <w:lang w:val="en-US"/>
        </w:rPr>
        <w:t>20</w:t>
      </w:r>
      <w:r w:rsidR="008D42F0" w:rsidRPr="008B7F94">
        <w:rPr>
          <w:lang w:val="en-US"/>
        </w:rPr>
        <w:t>.</w:t>
      </w:r>
      <w:r w:rsidRPr="008B7F94">
        <w:rPr>
          <w:lang w:val="en-US"/>
        </w:rPr>
        <w:t xml:space="preserve"> </w:t>
      </w:r>
      <w:proofErr w:type="spellStart"/>
      <w:r w:rsidRPr="008B7F94">
        <w:rPr>
          <w:lang w:val="en-US"/>
        </w:rPr>
        <w:t>Reingruber</w:t>
      </w:r>
      <w:proofErr w:type="spellEnd"/>
      <w:r w:rsidRPr="008B7F94">
        <w:rPr>
          <w:lang w:val="en-US"/>
        </w:rPr>
        <w:t xml:space="preserve"> J, </w:t>
      </w:r>
      <w:proofErr w:type="spellStart"/>
      <w:r w:rsidRPr="008B7F94">
        <w:rPr>
          <w:lang w:val="en-US"/>
        </w:rPr>
        <w:t>Holcman</w:t>
      </w:r>
      <w:proofErr w:type="spellEnd"/>
      <w:r w:rsidRPr="008B7F94">
        <w:rPr>
          <w:lang w:val="en-US"/>
        </w:rPr>
        <w:t xml:space="preserve"> D. </w:t>
      </w:r>
      <w:proofErr w:type="gramStart"/>
      <w:r w:rsidRPr="008B7F94">
        <w:rPr>
          <w:lang w:val="en-US"/>
        </w:rPr>
        <w:t>The dynamics of phosphodiesterase activation in rods and cones.</w:t>
      </w:r>
      <w:proofErr w:type="gramEnd"/>
      <w:r w:rsidRPr="008B7F94">
        <w:rPr>
          <w:lang w:val="en-US"/>
        </w:rPr>
        <w:t xml:space="preserve"> </w:t>
      </w:r>
      <w:proofErr w:type="spellStart"/>
      <w:r w:rsidRPr="008B7F94">
        <w:rPr>
          <w:lang w:val="en-US"/>
        </w:rPr>
        <w:t>Biophys</w:t>
      </w:r>
      <w:proofErr w:type="spellEnd"/>
      <w:r w:rsidRPr="008B7F94">
        <w:rPr>
          <w:lang w:val="en-US"/>
        </w:rPr>
        <w:t xml:space="preserve"> </w:t>
      </w:r>
      <w:proofErr w:type="gramStart"/>
      <w:r w:rsidRPr="008B7F94">
        <w:rPr>
          <w:lang w:val="en-US"/>
        </w:rPr>
        <w:t>J  2008</w:t>
      </w:r>
      <w:proofErr w:type="gramEnd"/>
      <w:r w:rsidRPr="008B7F94">
        <w:rPr>
          <w:lang w:val="en-US"/>
        </w:rPr>
        <w:t xml:space="preserve">; 94:1954-70. &lt; </w:t>
      </w:r>
      <w:r w:rsidRPr="008B7F94">
        <w:rPr>
          <w:rFonts w:eastAsia="Times New Roman"/>
          <w:lang w:val="en-US" w:eastAsia="ru-RU"/>
        </w:rPr>
        <w:t>PMID: 18065454&gt;</w:t>
      </w:r>
    </w:p>
    <w:p w:rsidR="003A715B" w:rsidRPr="008B7F94" w:rsidRDefault="003A715B" w:rsidP="003A715B">
      <w:pPr>
        <w:spacing w:after="120" w:line="360" w:lineRule="auto"/>
        <w:rPr>
          <w:lang w:val="en-US"/>
        </w:rPr>
      </w:pPr>
      <w:r w:rsidRPr="008B7F94">
        <w:rPr>
          <w:lang w:val="en-US"/>
        </w:rPr>
        <w:t>21</w:t>
      </w:r>
      <w:r w:rsidR="008D42F0" w:rsidRPr="008B7F94">
        <w:rPr>
          <w:lang w:val="en-US"/>
        </w:rPr>
        <w:t>.</w:t>
      </w:r>
      <w:r w:rsidRPr="008B7F94">
        <w:rPr>
          <w:lang w:val="en-US"/>
        </w:rPr>
        <w:t xml:space="preserve"> </w:t>
      </w:r>
      <w:proofErr w:type="spellStart"/>
      <w:r w:rsidRPr="008B7F94">
        <w:rPr>
          <w:lang w:val="en-US"/>
        </w:rPr>
        <w:t>Reingruber</w:t>
      </w:r>
      <w:proofErr w:type="spellEnd"/>
      <w:r w:rsidRPr="008B7F94">
        <w:rPr>
          <w:lang w:val="en-US"/>
        </w:rPr>
        <w:t xml:space="preserve"> J, </w:t>
      </w:r>
      <w:proofErr w:type="spellStart"/>
      <w:r w:rsidRPr="008B7F94">
        <w:rPr>
          <w:lang w:val="en-US"/>
        </w:rPr>
        <w:t>Holcman</w:t>
      </w:r>
      <w:proofErr w:type="spellEnd"/>
      <w:r w:rsidRPr="008B7F94">
        <w:rPr>
          <w:lang w:val="en-US"/>
        </w:rPr>
        <w:t xml:space="preserve"> D. Estimating the rate constant of cyclic GMP hydrolysis by activated phosphodiesterase in photoreceptors. J </w:t>
      </w:r>
      <w:proofErr w:type="spellStart"/>
      <w:r w:rsidRPr="008B7F94">
        <w:rPr>
          <w:lang w:val="en-US"/>
        </w:rPr>
        <w:t>Chem</w:t>
      </w:r>
      <w:proofErr w:type="spellEnd"/>
      <w:r w:rsidRPr="008B7F94">
        <w:rPr>
          <w:lang w:val="en-US"/>
        </w:rPr>
        <w:t xml:space="preserve"> Phys 2008; 129:145102. &lt;</w:t>
      </w:r>
      <w:r w:rsidRPr="008B7F94">
        <w:rPr>
          <w:rFonts w:eastAsia="Times New Roman"/>
          <w:lang w:val="en-US" w:eastAsia="ru-RU"/>
        </w:rPr>
        <w:t>PMID: 19045167&gt;</w:t>
      </w:r>
    </w:p>
    <w:p w:rsidR="003A715B" w:rsidRPr="008B7F94" w:rsidRDefault="003A715B" w:rsidP="003A715B">
      <w:pPr>
        <w:spacing w:after="120" w:line="360" w:lineRule="auto"/>
        <w:rPr>
          <w:lang w:val="en-US"/>
        </w:rPr>
      </w:pPr>
      <w:r w:rsidRPr="008B7F94">
        <w:rPr>
          <w:lang w:val="en-US"/>
        </w:rPr>
        <w:t>22</w:t>
      </w:r>
      <w:r w:rsidR="008D42F0" w:rsidRPr="008B7F94">
        <w:rPr>
          <w:lang w:val="en-US"/>
        </w:rPr>
        <w:t>.</w:t>
      </w:r>
      <w:r w:rsidRPr="008B7F94">
        <w:rPr>
          <w:lang w:val="en-US"/>
        </w:rPr>
        <w:t xml:space="preserve"> </w:t>
      </w:r>
      <w:proofErr w:type="spellStart"/>
      <w:r w:rsidRPr="008B7F94">
        <w:rPr>
          <w:lang w:val="en-US"/>
        </w:rPr>
        <w:t>Rieke</w:t>
      </w:r>
      <w:proofErr w:type="spellEnd"/>
      <w:r w:rsidRPr="008B7F94">
        <w:rPr>
          <w:lang w:val="en-US"/>
        </w:rPr>
        <w:t xml:space="preserve"> F, Baylor DA. </w:t>
      </w:r>
      <w:proofErr w:type="gramStart"/>
      <w:r w:rsidRPr="008B7F94">
        <w:rPr>
          <w:lang w:val="en-US"/>
        </w:rPr>
        <w:t>Origin of reproducibility in the responses of retinal rods to single photons.</w:t>
      </w:r>
      <w:proofErr w:type="gramEnd"/>
      <w:r w:rsidRPr="008B7F94">
        <w:rPr>
          <w:lang w:val="en-US"/>
        </w:rPr>
        <w:t xml:space="preserve"> </w:t>
      </w:r>
      <w:proofErr w:type="spellStart"/>
      <w:r w:rsidRPr="008B7F94">
        <w:rPr>
          <w:lang w:val="en-US"/>
        </w:rPr>
        <w:t>Biophys</w:t>
      </w:r>
      <w:proofErr w:type="spellEnd"/>
      <w:r w:rsidRPr="008B7F94">
        <w:rPr>
          <w:lang w:val="en-US"/>
        </w:rPr>
        <w:t xml:space="preserve"> </w:t>
      </w:r>
      <w:proofErr w:type="gramStart"/>
      <w:r w:rsidRPr="008B7F94">
        <w:rPr>
          <w:lang w:val="en-US"/>
        </w:rPr>
        <w:t>J  1998</w:t>
      </w:r>
      <w:proofErr w:type="gramEnd"/>
      <w:r w:rsidRPr="008B7F94">
        <w:rPr>
          <w:lang w:val="en-US"/>
        </w:rPr>
        <w:t xml:space="preserve">; 75:1836-57. &lt; </w:t>
      </w:r>
      <w:r w:rsidRPr="008B7F94">
        <w:rPr>
          <w:rFonts w:eastAsia="Times New Roman"/>
          <w:lang w:val="en-US" w:eastAsia="ru-RU"/>
        </w:rPr>
        <w:t>PMID: 9746525&gt;</w:t>
      </w:r>
    </w:p>
    <w:p w:rsidR="003A715B" w:rsidRPr="008B7F94" w:rsidRDefault="003A715B" w:rsidP="003A715B">
      <w:pPr>
        <w:spacing w:after="120" w:line="360" w:lineRule="auto"/>
        <w:rPr>
          <w:lang w:val="en-US"/>
        </w:rPr>
      </w:pPr>
      <w:r w:rsidRPr="008B7F94">
        <w:rPr>
          <w:lang w:val="en-US"/>
        </w:rPr>
        <w:t>23</w:t>
      </w:r>
      <w:r w:rsidR="008D42F0" w:rsidRPr="008B7F94">
        <w:rPr>
          <w:lang w:val="en-US"/>
        </w:rPr>
        <w:t>.</w:t>
      </w:r>
      <w:r w:rsidRPr="008B7F94">
        <w:rPr>
          <w:lang w:val="en-US"/>
        </w:rPr>
        <w:t xml:space="preserve"> </w:t>
      </w:r>
      <w:proofErr w:type="spellStart"/>
      <w:r w:rsidRPr="008B7F94">
        <w:rPr>
          <w:lang w:val="en-US"/>
        </w:rPr>
        <w:t>Tranchina</w:t>
      </w:r>
      <w:proofErr w:type="spellEnd"/>
      <w:r w:rsidRPr="008B7F94">
        <w:rPr>
          <w:lang w:val="en-US"/>
        </w:rPr>
        <w:t xml:space="preserve"> D, </w:t>
      </w:r>
      <w:proofErr w:type="spellStart"/>
      <w:r w:rsidRPr="008B7F94">
        <w:rPr>
          <w:lang w:val="en-US"/>
        </w:rPr>
        <w:t>Sneyd</w:t>
      </w:r>
      <w:proofErr w:type="spellEnd"/>
      <w:r w:rsidRPr="008B7F94">
        <w:rPr>
          <w:lang w:val="en-US"/>
        </w:rPr>
        <w:t xml:space="preserve"> J, </w:t>
      </w:r>
      <w:proofErr w:type="spellStart"/>
      <w:r w:rsidRPr="008B7F94">
        <w:rPr>
          <w:lang w:val="en-US"/>
        </w:rPr>
        <w:t>Cadenas</w:t>
      </w:r>
      <w:proofErr w:type="spellEnd"/>
      <w:r w:rsidRPr="008B7F94">
        <w:rPr>
          <w:lang w:val="en-US"/>
        </w:rPr>
        <w:t xml:space="preserve"> ID. </w:t>
      </w:r>
      <w:proofErr w:type="gramStart"/>
      <w:r w:rsidRPr="008B7F94">
        <w:rPr>
          <w:lang w:val="en-US"/>
        </w:rPr>
        <w:t>Light adaptation in turtle cones.</w:t>
      </w:r>
      <w:proofErr w:type="gramEnd"/>
      <w:r w:rsidRPr="008B7F94">
        <w:rPr>
          <w:lang w:val="en-US"/>
        </w:rPr>
        <w:t xml:space="preserve"> </w:t>
      </w:r>
      <w:proofErr w:type="gramStart"/>
      <w:r w:rsidRPr="008B7F94">
        <w:rPr>
          <w:lang w:val="en-US"/>
        </w:rPr>
        <w:t>Testing and analysis of a model for phototransduction.</w:t>
      </w:r>
      <w:proofErr w:type="gramEnd"/>
      <w:r w:rsidRPr="008B7F94">
        <w:rPr>
          <w:lang w:val="en-US"/>
        </w:rPr>
        <w:t xml:space="preserve"> </w:t>
      </w:r>
      <w:proofErr w:type="spellStart"/>
      <w:proofErr w:type="gramStart"/>
      <w:r w:rsidRPr="008B7F94">
        <w:rPr>
          <w:lang w:val="en-US"/>
        </w:rPr>
        <w:t>Biophys</w:t>
      </w:r>
      <w:proofErr w:type="spellEnd"/>
      <w:r w:rsidRPr="008B7F94">
        <w:rPr>
          <w:lang w:val="en-US"/>
        </w:rPr>
        <w:t xml:space="preserve"> J 1991; 60:217-37.</w:t>
      </w:r>
      <w:proofErr w:type="gramEnd"/>
      <w:r w:rsidRPr="008B7F94">
        <w:rPr>
          <w:lang w:val="en-US"/>
        </w:rPr>
        <w:t xml:space="preserve"> &lt; </w:t>
      </w:r>
      <w:r w:rsidRPr="008B7F94">
        <w:rPr>
          <w:rFonts w:eastAsia="Times New Roman"/>
          <w:lang w:val="en-US" w:eastAsia="ru-RU"/>
        </w:rPr>
        <w:t xml:space="preserve">PMID: </w:t>
      </w:r>
      <w:r w:rsidRPr="008B7F94">
        <w:rPr>
          <w:rFonts w:eastAsia="Times New Roman"/>
          <w:lang w:val="en-US" w:eastAsia="ru-RU"/>
        </w:rPr>
        <w:tab/>
        <w:t>1653050&gt;</w:t>
      </w:r>
    </w:p>
    <w:p w:rsidR="003A715B" w:rsidRPr="008B7F94" w:rsidRDefault="003A715B" w:rsidP="003A715B">
      <w:pPr>
        <w:spacing w:after="120" w:line="360" w:lineRule="auto"/>
        <w:rPr>
          <w:lang w:val="en-US"/>
        </w:rPr>
      </w:pPr>
      <w:r w:rsidRPr="008B7F94">
        <w:rPr>
          <w:lang w:val="en-US"/>
        </w:rPr>
        <w:t>24</w:t>
      </w:r>
      <w:r w:rsidR="008D42F0" w:rsidRPr="008B7F94">
        <w:rPr>
          <w:lang w:val="en-US"/>
        </w:rPr>
        <w:t>.</w:t>
      </w:r>
      <w:r w:rsidRPr="008B7F94">
        <w:rPr>
          <w:lang w:val="en-US"/>
        </w:rPr>
        <w:t xml:space="preserve"> van </w:t>
      </w:r>
      <w:proofErr w:type="spellStart"/>
      <w:r w:rsidRPr="008B7F94">
        <w:rPr>
          <w:lang w:val="en-US"/>
        </w:rPr>
        <w:t>Hateren</w:t>
      </w:r>
      <w:proofErr w:type="spellEnd"/>
      <w:r w:rsidRPr="008B7F94">
        <w:rPr>
          <w:lang w:val="en-US"/>
        </w:rPr>
        <w:t xml:space="preserve"> JH. </w:t>
      </w:r>
      <w:proofErr w:type="gramStart"/>
      <w:r w:rsidRPr="008B7F94">
        <w:rPr>
          <w:lang w:val="en-US"/>
        </w:rPr>
        <w:t>A cellular and molecular model of response kinetics and adaptation in primate cones and horizontal cells.</w:t>
      </w:r>
      <w:proofErr w:type="gramEnd"/>
      <w:r w:rsidRPr="008B7F94">
        <w:rPr>
          <w:lang w:val="en-US"/>
        </w:rPr>
        <w:t xml:space="preserve"> J Vis 2005; 5:331-47. &lt; </w:t>
      </w:r>
      <w:r w:rsidRPr="008B7F94">
        <w:rPr>
          <w:rFonts w:eastAsia="Times New Roman"/>
          <w:lang w:val="en-US" w:eastAsia="ru-RU"/>
        </w:rPr>
        <w:t>PMID: 15929656&gt;</w:t>
      </w:r>
    </w:p>
    <w:p w:rsidR="003A715B" w:rsidRPr="008B7F94" w:rsidRDefault="003A715B" w:rsidP="00FC6424">
      <w:pPr>
        <w:spacing w:after="120" w:line="360" w:lineRule="auto"/>
        <w:rPr>
          <w:rFonts w:eastAsia="Times New Roman"/>
          <w:lang w:val="en-US" w:eastAsia="ru-RU"/>
        </w:rPr>
      </w:pPr>
    </w:p>
    <w:p w:rsidR="003A715B" w:rsidRPr="008B7F94" w:rsidRDefault="003A715B" w:rsidP="00FC6424">
      <w:pPr>
        <w:spacing w:after="120" w:line="360" w:lineRule="auto"/>
        <w:rPr>
          <w:rFonts w:eastAsia="Times New Roman"/>
          <w:lang w:val="en-US" w:eastAsia="ru-RU"/>
        </w:rPr>
      </w:pPr>
      <w:r w:rsidRPr="008B7F94">
        <w:rPr>
          <w:lang w:val="en-US"/>
        </w:rPr>
        <w:lastRenderedPageBreak/>
        <w:t>25</w:t>
      </w:r>
      <w:r w:rsidR="008D42F0" w:rsidRPr="008B7F94">
        <w:rPr>
          <w:lang w:val="en-US"/>
        </w:rPr>
        <w:t>.</w:t>
      </w:r>
      <w:r w:rsidRPr="008B7F94">
        <w:rPr>
          <w:lang w:val="en-US"/>
        </w:rPr>
        <w:t xml:space="preserve"> Calvert PD, Ho TW, </w:t>
      </w:r>
      <w:proofErr w:type="spellStart"/>
      <w:r w:rsidRPr="008B7F94">
        <w:rPr>
          <w:lang w:val="en-US"/>
        </w:rPr>
        <w:t>LeFebvre</w:t>
      </w:r>
      <w:proofErr w:type="spellEnd"/>
      <w:r w:rsidRPr="008B7F94">
        <w:rPr>
          <w:lang w:val="en-US"/>
        </w:rPr>
        <w:t xml:space="preserve"> YM, </w:t>
      </w:r>
      <w:proofErr w:type="spellStart"/>
      <w:r w:rsidRPr="008B7F94">
        <w:rPr>
          <w:lang w:val="en-US"/>
        </w:rPr>
        <w:t>Arshavsky</w:t>
      </w:r>
      <w:proofErr w:type="spellEnd"/>
      <w:r w:rsidRPr="008B7F94">
        <w:rPr>
          <w:lang w:val="en-US"/>
        </w:rPr>
        <w:t xml:space="preserve"> VY. </w:t>
      </w:r>
      <w:proofErr w:type="gramStart"/>
      <w:r w:rsidRPr="008B7F94">
        <w:rPr>
          <w:lang w:val="en-US"/>
        </w:rPr>
        <w:t>Onset of feedback reactions underlying vertebrate rod photoreceptor light adaptation.</w:t>
      </w:r>
      <w:proofErr w:type="gramEnd"/>
      <w:r w:rsidRPr="008B7F94">
        <w:rPr>
          <w:lang w:val="en-US"/>
        </w:rPr>
        <w:t xml:space="preserve"> </w:t>
      </w:r>
      <w:proofErr w:type="gramStart"/>
      <w:r w:rsidRPr="008B7F94">
        <w:rPr>
          <w:lang w:val="en-US"/>
        </w:rPr>
        <w:t xml:space="preserve">J Gen </w:t>
      </w:r>
      <w:proofErr w:type="spellStart"/>
      <w:r w:rsidRPr="008B7F94">
        <w:rPr>
          <w:lang w:val="en-US"/>
        </w:rPr>
        <w:t>Physiol</w:t>
      </w:r>
      <w:proofErr w:type="spellEnd"/>
      <w:r w:rsidRPr="008B7F94">
        <w:rPr>
          <w:lang w:val="en-US"/>
        </w:rPr>
        <w:t xml:space="preserve"> 1998; 111:39-51.</w:t>
      </w:r>
      <w:proofErr w:type="gramEnd"/>
      <w:r w:rsidRPr="008B7F94">
        <w:rPr>
          <w:lang w:val="en-US"/>
        </w:rPr>
        <w:t xml:space="preserve"> &lt; </w:t>
      </w:r>
      <w:r w:rsidRPr="008B7F94">
        <w:rPr>
          <w:rFonts w:eastAsia="Times New Roman"/>
          <w:lang w:val="en-US" w:eastAsia="ru-RU"/>
        </w:rPr>
        <w:t>PMID: 9417133&gt;</w:t>
      </w:r>
    </w:p>
    <w:p w:rsidR="003B5884" w:rsidRPr="008B7F94" w:rsidRDefault="003B5884" w:rsidP="003B5884">
      <w:pPr>
        <w:spacing w:after="120" w:line="360" w:lineRule="auto"/>
        <w:rPr>
          <w:lang w:val="en-US"/>
        </w:rPr>
      </w:pPr>
      <w:r w:rsidRPr="008B7F94">
        <w:rPr>
          <w:lang w:val="en-US"/>
        </w:rPr>
        <w:t>26</w:t>
      </w:r>
      <w:r w:rsidR="008D42F0" w:rsidRPr="008B7F94">
        <w:rPr>
          <w:lang w:val="en-US"/>
        </w:rPr>
        <w:t>.</w:t>
      </w:r>
      <w:r w:rsidRPr="008B7F94">
        <w:rPr>
          <w:lang w:val="en-US"/>
        </w:rPr>
        <w:t xml:space="preserve"> Koch KW, </w:t>
      </w:r>
      <w:proofErr w:type="spellStart"/>
      <w:r w:rsidRPr="008B7F94">
        <w:rPr>
          <w:lang w:val="en-US"/>
        </w:rPr>
        <w:t>Stryer</w:t>
      </w:r>
      <w:proofErr w:type="spellEnd"/>
      <w:r w:rsidRPr="008B7F94">
        <w:rPr>
          <w:lang w:val="en-US"/>
        </w:rPr>
        <w:t xml:space="preserve"> L. Highly cooperative feedback control of retinal rod guanylate cyclase by calcium ions. </w:t>
      </w:r>
      <w:proofErr w:type="gramStart"/>
      <w:r w:rsidRPr="008B7F94">
        <w:rPr>
          <w:lang w:val="en-US"/>
        </w:rPr>
        <w:t>Nature 1988; 334:64-6.</w:t>
      </w:r>
      <w:proofErr w:type="gramEnd"/>
      <w:r w:rsidRPr="008B7F94">
        <w:rPr>
          <w:lang w:val="en-US"/>
        </w:rPr>
        <w:t xml:space="preserve"> &lt; </w:t>
      </w:r>
      <w:r w:rsidRPr="008B7F94">
        <w:rPr>
          <w:rFonts w:eastAsia="Times New Roman"/>
          <w:lang w:val="en-US" w:eastAsia="ru-RU"/>
        </w:rPr>
        <w:t>PMID: 2455233&gt;</w:t>
      </w:r>
    </w:p>
    <w:p w:rsidR="003B5884" w:rsidRPr="008B7F94" w:rsidRDefault="003B5884" w:rsidP="003B5884">
      <w:pPr>
        <w:spacing w:after="120" w:line="360" w:lineRule="auto"/>
        <w:rPr>
          <w:lang w:val="en-US"/>
        </w:rPr>
      </w:pPr>
      <w:r w:rsidRPr="008B7F94">
        <w:rPr>
          <w:lang w:val="en-US"/>
        </w:rPr>
        <w:t>27</w:t>
      </w:r>
      <w:r w:rsidR="008D42F0" w:rsidRPr="008B7F94">
        <w:rPr>
          <w:lang w:val="en-US"/>
        </w:rPr>
        <w:t>.</w:t>
      </w:r>
      <w:r w:rsidRPr="008B7F94">
        <w:rPr>
          <w:lang w:val="en-US"/>
        </w:rPr>
        <w:t xml:space="preserve"> Koutalos Y, </w:t>
      </w:r>
      <w:proofErr w:type="spellStart"/>
      <w:r w:rsidRPr="008B7F94">
        <w:rPr>
          <w:lang w:val="en-US"/>
        </w:rPr>
        <w:t>Nakatani</w:t>
      </w:r>
      <w:proofErr w:type="spellEnd"/>
      <w:r w:rsidRPr="008B7F94">
        <w:rPr>
          <w:lang w:val="en-US"/>
        </w:rPr>
        <w:t xml:space="preserve"> K, Tamura T, </w:t>
      </w:r>
      <w:proofErr w:type="spellStart"/>
      <w:r w:rsidRPr="008B7F94">
        <w:rPr>
          <w:lang w:val="en-US"/>
        </w:rPr>
        <w:t>Yau</w:t>
      </w:r>
      <w:proofErr w:type="spellEnd"/>
      <w:r w:rsidRPr="008B7F94">
        <w:rPr>
          <w:lang w:val="en-US"/>
        </w:rPr>
        <w:t xml:space="preserve"> KW. </w:t>
      </w:r>
      <w:proofErr w:type="gramStart"/>
      <w:r w:rsidRPr="008B7F94">
        <w:rPr>
          <w:lang w:val="en-US"/>
        </w:rPr>
        <w:t>Characterization of guanylate cyclase activity in single retinal rod outer segments.</w:t>
      </w:r>
      <w:proofErr w:type="gramEnd"/>
      <w:r w:rsidRPr="008B7F94">
        <w:rPr>
          <w:lang w:val="en-US"/>
        </w:rPr>
        <w:t xml:space="preserve"> </w:t>
      </w:r>
      <w:proofErr w:type="gramStart"/>
      <w:r w:rsidRPr="008B7F94">
        <w:rPr>
          <w:lang w:val="en-US"/>
        </w:rPr>
        <w:t xml:space="preserve">J Gen </w:t>
      </w:r>
      <w:proofErr w:type="spellStart"/>
      <w:r w:rsidRPr="008B7F94">
        <w:rPr>
          <w:lang w:val="en-US"/>
        </w:rPr>
        <w:t>Physiol</w:t>
      </w:r>
      <w:proofErr w:type="spellEnd"/>
      <w:r w:rsidRPr="008B7F94">
        <w:rPr>
          <w:lang w:val="en-US"/>
        </w:rPr>
        <w:t xml:space="preserve"> 1995; 106:863-90.</w:t>
      </w:r>
      <w:proofErr w:type="gramEnd"/>
      <w:r w:rsidRPr="008B7F94">
        <w:rPr>
          <w:lang w:val="en-US"/>
        </w:rPr>
        <w:t xml:space="preserve"> &lt; </w:t>
      </w:r>
      <w:r w:rsidRPr="008B7F94">
        <w:rPr>
          <w:rFonts w:eastAsia="Times New Roman"/>
          <w:lang w:val="en-US" w:eastAsia="ru-RU"/>
        </w:rPr>
        <w:t>PMID: 864829&gt;</w:t>
      </w:r>
    </w:p>
    <w:p w:rsidR="003B5884" w:rsidRPr="008B7F94" w:rsidRDefault="003B5884" w:rsidP="003B5884">
      <w:pPr>
        <w:spacing w:after="120" w:line="360" w:lineRule="auto"/>
        <w:rPr>
          <w:rFonts w:eastAsia="Times New Roman"/>
          <w:lang w:val="en-US" w:eastAsia="ru-RU"/>
        </w:rPr>
      </w:pPr>
      <w:r w:rsidRPr="008B7F94">
        <w:rPr>
          <w:lang w:val="en-US"/>
        </w:rPr>
        <w:t>28</w:t>
      </w:r>
      <w:r w:rsidR="008D42F0" w:rsidRPr="008B7F94">
        <w:rPr>
          <w:lang w:val="en-US"/>
        </w:rPr>
        <w:t>.</w:t>
      </w:r>
      <w:r w:rsidRPr="008B7F94">
        <w:rPr>
          <w:lang w:val="en-US"/>
        </w:rPr>
        <w:t xml:space="preserve"> </w:t>
      </w:r>
      <w:proofErr w:type="spellStart"/>
      <w:r w:rsidRPr="008B7F94">
        <w:rPr>
          <w:lang w:val="en-US"/>
        </w:rPr>
        <w:t>Peshenko</w:t>
      </w:r>
      <w:proofErr w:type="spellEnd"/>
      <w:r w:rsidRPr="008B7F94">
        <w:rPr>
          <w:lang w:val="en-US"/>
        </w:rPr>
        <w:t xml:space="preserve"> IV, </w:t>
      </w:r>
      <w:proofErr w:type="spellStart"/>
      <w:r w:rsidRPr="008B7F94">
        <w:rPr>
          <w:lang w:val="en-US"/>
        </w:rPr>
        <w:t>Dizhoor</w:t>
      </w:r>
      <w:proofErr w:type="spellEnd"/>
      <w:r w:rsidRPr="008B7F94">
        <w:rPr>
          <w:lang w:val="en-US"/>
        </w:rPr>
        <w:t xml:space="preserve"> </w:t>
      </w:r>
      <w:proofErr w:type="gramStart"/>
      <w:r w:rsidRPr="008B7F94">
        <w:rPr>
          <w:lang w:val="en-US"/>
        </w:rPr>
        <w:t>AM</w:t>
      </w:r>
      <w:proofErr w:type="gramEnd"/>
      <w:r w:rsidRPr="008B7F94">
        <w:rPr>
          <w:lang w:val="en-US"/>
        </w:rPr>
        <w:t>. Guanylyl cyclase-activating proteins (GCAPs) are Ca</w:t>
      </w:r>
      <w:r w:rsidRPr="008B7F94">
        <w:rPr>
          <w:vertAlign w:val="superscript"/>
          <w:lang w:val="en-US"/>
        </w:rPr>
        <w:t>2+</w:t>
      </w:r>
      <w:r w:rsidRPr="008B7F94">
        <w:rPr>
          <w:lang w:val="en-US"/>
        </w:rPr>
        <w:t>/Mg</w:t>
      </w:r>
      <w:r w:rsidRPr="008B7F94">
        <w:rPr>
          <w:vertAlign w:val="superscript"/>
          <w:lang w:val="en-US"/>
        </w:rPr>
        <w:t xml:space="preserve">2+ </w:t>
      </w:r>
      <w:r w:rsidRPr="008B7F94">
        <w:rPr>
          <w:lang w:val="en-US"/>
        </w:rPr>
        <w:t>sensors: implications for photoreceptor guanylyl cyclase (</w:t>
      </w:r>
      <w:proofErr w:type="spellStart"/>
      <w:r w:rsidRPr="008B7F94">
        <w:rPr>
          <w:lang w:val="en-US"/>
        </w:rPr>
        <w:t>RetGC</w:t>
      </w:r>
      <w:proofErr w:type="spellEnd"/>
      <w:r w:rsidRPr="008B7F94">
        <w:rPr>
          <w:lang w:val="en-US"/>
        </w:rPr>
        <w:t xml:space="preserve">) regulation in mammalian photoreceptors. J </w:t>
      </w:r>
      <w:proofErr w:type="spellStart"/>
      <w:r w:rsidRPr="008B7F94">
        <w:rPr>
          <w:lang w:val="en-US"/>
        </w:rPr>
        <w:t>Biol</w:t>
      </w:r>
      <w:proofErr w:type="spellEnd"/>
      <w:r w:rsidRPr="008B7F94">
        <w:rPr>
          <w:lang w:val="en-US"/>
        </w:rPr>
        <w:t xml:space="preserve"> </w:t>
      </w:r>
      <w:proofErr w:type="spellStart"/>
      <w:r w:rsidRPr="008B7F94">
        <w:rPr>
          <w:lang w:val="en-US"/>
        </w:rPr>
        <w:t>Chem</w:t>
      </w:r>
      <w:proofErr w:type="spellEnd"/>
      <w:r w:rsidRPr="008B7F94">
        <w:rPr>
          <w:lang w:val="en-US"/>
        </w:rPr>
        <w:t xml:space="preserve"> 2004; 279:16903-6. &lt; </w:t>
      </w:r>
      <w:r w:rsidRPr="008B7F94">
        <w:rPr>
          <w:rFonts w:eastAsia="Times New Roman"/>
          <w:lang w:val="en-US" w:eastAsia="ru-RU"/>
        </w:rPr>
        <w:t>PMID: 14993224&gt;</w:t>
      </w:r>
    </w:p>
    <w:p w:rsidR="00FC6424" w:rsidRPr="008B7F94" w:rsidRDefault="005D6479" w:rsidP="00FC6424">
      <w:pPr>
        <w:spacing w:after="120" w:line="360" w:lineRule="auto"/>
        <w:rPr>
          <w:lang w:val="en-US"/>
        </w:rPr>
      </w:pPr>
      <w:r w:rsidRPr="008B7F94">
        <w:rPr>
          <w:lang w:val="en-US"/>
        </w:rPr>
        <w:t>29</w:t>
      </w:r>
      <w:r w:rsidR="008D42F0" w:rsidRPr="008B7F94">
        <w:rPr>
          <w:lang w:val="en-US"/>
        </w:rPr>
        <w:t>.</w:t>
      </w:r>
      <w:r w:rsidR="003461AF" w:rsidRPr="008B7F94">
        <w:rPr>
          <w:lang w:val="en-US"/>
        </w:rPr>
        <w:t xml:space="preserve"> </w:t>
      </w:r>
      <w:proofErr w:type="spellStart"/>
      <w:r w:rsidR="00FC6424" w:rsidRPr="008B7F94">
        <w:rPr>
          <w:lang w:val="en-US"/>
        </w:rPr>
        <w:t>Govardovskii</w:t>
      </w:r>
      <w:proofErr w:type="spellEnd"/>
      <w:r w:rsidR="00FC6424" w:rsidRPr="008B7F94">
        <w:rPr>
          <w:lang w:val="en-US"/>
        </w:rPr>
        <w:t xml:space="preserve"> VI, </w:t>
      </w:r>
      <w:proofErr w:type="spellStart"/>
      <w:r w:rsidR="00FC6424" w:rsidRPr="008B7F94">
        <w:rPr>
          <w:lang w:val="en-US"/>
        </w:rPr>
        <w:t>Kuzmin</w:t>
      </w:r>
      <w:proofErr w:type="spellEnd"/>
      <w:r w:rsidR="00FC6424" w:rsidRPr="008B7F94">
        <w:rPr>
          <w:lang w:val="en-US"/>
        </w:rPr>
        <w:t xml:space="preserve"> DG. </w:t>
      </w:r>
      <w:proofErr w:type="gramStart"/>
      <w:r w:rsidR="00FC6424" w:rsidRPr="008B7F94">
        <w:rPr>
          <w:lang w:val="en-US"/>
        </w:rPr>
        <w:t>Light-induced Ca</w:t>
      </w:r>
      <w:r w:rsidR="00FC6424" w:rsidRPr="008B7F94">
        <w:rPr>
          <w:vertAlign w:val="superscript"/>
          <w:lang w:val="en-US"/>
        </w:rPr>
        <w:t>2+</w:t>
      </w:r>
      <w:r w:rsidR="00FC6424" w:rsidRPr="008B7F94">
        <w:rPr>
          <w:lang w:val="en-US"/>
        </w:rPr>
        <w:t xml:space="preserve"> release and kinetics of calcium feedback in retinal rods.</w:t>
      </w:r>
      <w:proofErr w:type="gramEnd"/>
      <w:r w:rsidR="00FC6424" w:rsidRPr="008B7F94">
        <w:rPr>
          <w:lang w:val="en-US"/>
        </w:rPr>
        <w:t xml:space="preserve"> </w:t>
      </w:r>
      <w:proofErr w:type="spellStart"/>
      <w:proofErr w:type="gramStart"/>
      <w:r w:rsidR="00FC6424" w:rsidRPr="008B7F94">
        <w:rPr>
          <w:lang w:val="en-US"/>
        </w:rPr>
        <w:t>Sens</w:t>
      </w:r>
      <w:proofErr w:type="spellEnd"/>
      <w:r w:rsidR="00FC6424" w:rsidRPr="008B7F94">
        <w:rPr>
          <w:lang w:val="en-US"/>
        </w:rPr>
        <w:t xml:space="preserve"> </w:t>
      </w:r>
      <w:proofErr w:type="spellStart"/>
      <w:r w:rsidR="00FC6424" w:rsidRPr="008B7F94">
        <w:rPr>
          <w:lang w:val="en-US"/>
        </w:rPr>
        <w:t>Syst</w:t>
      </w:r>
      <w:proofErr w:type="spellEnd"/>
      <w:r w:rsidR="00FC6424" w:rsidRPr="008B7F94">
        <w:rPr>
          <w:lang w:val="en-US"/>
        </w:rPr>
        <w:t xml:space="preserve"> 1999; 13:206-15.</w:t>
      </w:r>
      <w:proofErr w:type="gramEnd"/>
    </w:p>
    <w:p w:rsidR="005D6479" w:rsidRPr="008B7F94" w:rsidRDefault="005D6479" w:rsidP="005D6479">
      <w:pPr>
        <w:spacing w:after="120" w:line="360" w:lineRule="auto"/>
        <w:rPr>
          <w:lang w:val="en-US"/>
        </w:rPr>
      </w:pPr>
      <w:proofErr w:type="gramStart"/>
      <w:r w:rsidRPr="008B7F94">
        <w:rPr>
          <w:lang w:val="en-US"/>
        </w:rPr>
        <w:t>30</w:t>
      </w:r>
      <w:r w:rsidR="008D42F0" w:rsidRPr="008B7F94">
        <w:rPr>
          <w:lang w:val="en-US"/>
        </w:rPr>
        <w:t>.</w:t>
      </w:r>
      <w:r w:rsidRPr="008B7F94">
        <w:rPr>
          <w:lang w:val="en-US"/>
        </w:rPr>
        <w:t xml:space="preserve"> McCarthy ST, Younger JP, Owen WG.</w:t>
      </w:r>
      <w:proofErr w:type="gramEnd"/>
      <w:r w:rsidRPr="008B7F94">
        <w:rPr>
          <w:lang w:val="en-US"/>
        </w:rPr>
        <w:t xml:space="preserve"> Dynamic, spatially </w:t>
      </w:r>
      <w:proofErr w:type="spellStart"/>
      <w:r w:rsidRPr="008B7F94">
        <w:rPr>
          <w:lang w:val="en-US"/>
        </w:rPr>
        <w:t>nonuniform</w:t>
      </w:r>
      <w:proofErr w:type="spellEnd"/>
      <w:r w:rsidRPr="008B7F94">
        <w:rPr>
          <w:lang w:val="en-US"/>
        </w:rPr>
        <w:t xml:space="preserve"> calcium regulation in frog rods exposed to light. J </w:t>
      </w:r>
      <w:proofErr w:type="spellStart"/>
      <w:proofErr w:type="gramStart"/>
      <w:r w:rsidRPr="008B7F94">
        <w:rPr>
          <w:lang w:val="en-US"/>
        </w:rPr>
        <w:t>Neurophysiol</w:t>
      </w:r>
      <w:proofErr w:type="spellEnd"/>
      <w:r w:rsidRPr="008B7F94">
        <w:rPr>
          <w:lang w:val="en-US"/>
        </w:rPr>
        <w:t xml:space="preserve">  1996</w:t>
      </w:r>
      <w:proofErr w:type="gramEnd"/>
      <w:r w:rsidRPr="008B7F94">
        <w:rPr>
          <w:lang w:val="en-US"/>
        </w:rPr>
        <w:t xml:space="preserve">; 76:1991-2004. &lt; </w:t>
      </w:r>
      <w:r w:rsidRPr="008B7F94">
        <w:rPr>
          <w:rFonts w:eastAsia="Times New Roman"/>
          <w:lang w:val="en-US" w:eastAsia="ru-RU"/>
        </w:rPr>
        <w:t>PMID: 8890309&gt;</w:t>
      </w:r>
    </w:p>
    <w:p w:rsidR="005D6479" w:rsidRPr="008B7F94" w:rsidRDefault="005D6479" w:rsidP="00FC6424">
      <w:pPr>
        <w:spacing w:after="120" w:line="360" w:lineRule="auto"/>
        <w:rPr>
          <w:lang w:val="en-US"/>
        </w:rPr>
      </w:pPr>
      <w:r w:rsidRPr="008B7F94">
        <w:rPr>
          <w:lang w:val="en-US"/>
        </w:rPr>
        <w:t>31</w:t>
      </w:r>
      <w:r w:rsidR="008D42F0" w:rsidRPr="008B7F94">
        <w:rPr>
          <w:lang w:val="en-US"/>
        </w:rPr>
        <w:t>.</w:t>
      </w:r>
      <w:r w:rsidRPr="008B7F94">
        <w:rPr>
          <w:lang w:val="en-US"/>
        </w:rPr>
        <w:t xml:space="preserve"> Younger JP, McCarthy ST, Owen WG. </w:t>
      </w:r>
      <w:proofErr w:type="gramStart"/>
      <w:r w:rsidRPr="008B7F94">
        <w:rPr>
          <w:lang w:val="en-US"/>
        </w:rPr>
        <w:t xml:space="preserve">Light-dependent control of calcium in intact rods of the bullfrog </w:t>
      </w:r>
      <w:proofErr w:type="spellStart"/>
      <w:r w:rsidRPr="008B7F94">
        <w:rPr>
          <w:i/>
          <w:lang w:val="en-US"/>
        </w:rPr>
        <w:t>Rana</w:t>
      </w:r>
      <w:proofErr w:type="spellEnd"/>
      <w:r w:rsidRPr="008B7F94">
        <w:rPr>
          <w:i/>
          <w:lang w:val="en-US"/>
        </w:rPr>
        <w:t xml:space="preserve"> </w:t>
      </w:r>
      <w:proofErr w:type="spellStart"/>
      <w:r w:rsidRPr="008B7F94">
        <w:rPr>
          <w:i/>
          <w:lang w:val="en-US"/>
        </w:rPr>
        <w:t>catesbeiana</w:t>
      </w:r>
      <w:proofErr w:type="spellEnd"/>
      <w:r w:rsidRPr="008B7F94">
        <w:rPr>
          <w:lang w:val="en-US"/>
        </w:rPr>
        <w:t>.</w:t>
      </w:r>
      <w:proofErr w:type="gramEnd"/>
      <w:r w:rsidRPr="008B7F94">
        <w:rPr>
          <w:lang w:val="en-US"/>
        </w:rPr>
        <w:t xml:space="preserve"> </w:t>
      </w:r>
      <w:proofErr w:type="gramStart"/>
      <w:r w:rsidRPr="008B7F94">
        <w:rPr>
          <w:lang w:val="en-US"/>
        </w:rPr>
        <w:t xml:space="preserve">J </w:t>
      </w:r>
      <w:proofErr w:type="spellStart"/>
      <w:r w:rsidRPr="008B7F94">
        <w:rPr>
          <w:lang w:val="en-US"/>
        </w:rPr>
        <w:t>Neurophysiol</w:t>
      </w:r>
      <w:proofErr w:type="spellEnd"/>
      <w:r w:rsidRPr="008B7F94">
        <w:rPr>
          <w:lang w:val="en-US"/>
        </w:rPr>
        <w:t xml:space="preserve"> 1996; 75:354-66.</w:t>
      </w:r>
      <w:proofErr w:type="gramEnd"/>
      <w:r w:rsidRPr="008B7F94">
        <w:rPr>
          <w:lang w:val="en-US"/>
        </w:rPr>
        <w:t xml:space="preserve"> &lt;</w:t>
      </w:r>
      <w:r w:rsidRPr="008B7F94">
        <w:rPr>
          <w:rFonts w:eastAsia="Times New Roman"/>
          <w:lang w:val="en-US" w:eastAsia="ru-RU"/>
        </w:rPr>
        <w:t>PMID: 8822563&gt;</w:t>
      </w:r>
    </w:p>
    <w:p w:rsidR="00FC6424" w:rsidRPr="008B7F94" w:rsidRDefault="005D6479" w:rsidP="00FC6424">
      <w:pPr>
        <w:spacing w:after="120" w:line="360" w:lineRule="auto"/>
        <w:rPr>
          <w:rFonts w:eastAsia="Times New Roman"/>
          <w:lang w:val="en-US" w:eastAsia="ru-RU"/>
        </w:rPr>
      </w:pPr>
      <w:r w:rsidRPr="008B7F94">
        <w:rPr>
          <w:lang w:val="en-US"/>
        </w:rPr>
        <w:t>32</w:t>
      </w:r>
      <w:r w:rsidR="008D42F0" w:rsidRPr="008B7F94">
        <w:rPr>
          <w:lang w:val="en-US"/>
        </w:rPr>
        <w:t>.</w:t>
      </w:r>
      <w:r w:rsidR="003461AF" w:rsidRPr="008B7F94">
        <w:rPr>
          <w:lang w:val="en-US"/>
        </w:rPr>
        <w:t xml:space="preserve"> </w:t>
      </w:r>
      <w:proofErr w:type="spellStart"/>
      <w:r w:rsidR="00FC6424" w:rsidRPr="008B7F94">
        <w:rPr>
          <w:lang w:val="en-US"/>
        </w:rPr>
        <w:t>Lagnado</w:t>
      </w:r>
      <w:proofErr w:type="spellEnd"/>
      <w:r w:rsidR="00FC6424" w:rsidRPr="008B7F94">
        <w:rPr>
          <w:lang w:val="en-US"/>
        </w:rPr>
        <w:t xml:space="preserve"> L, </w:t>
      </w:r>
      <w:proofErr w:type="spellStart"/>
      <w:r w:rsidR="00FC6424" w:rsidRPr="008B7F94">
        <w:rPr>
          <w:lang w:val="en-US"/>
        </w:rPr>
        <w:t>Cervetto</w:t>
      </w:r>
      <w:proofErr w:type="spellEnd"/>
      <w:r w:rsidR="00FC6424" w:rsidRPr="008B7F94">
        <w:rPr>
          <w:lang w:val="en-US"/>
        </w:rPr>
        <w:t xml:space="preserve"> L, McNaughton PA. </w:t>
      </w:r>
      <w:proofErr w:type="gramStart"/>
      <w:r w:rsidR="00FC6424" w:rsidRPr="008B7F94">
        <w:rPr>
          <w:lang w:val="en-US"/>
        </w:rPr>
        <w:t>Calcium homeostasis in the outer segments of retinal rods from the tiger salamander.</w:t>
      </w:r>
      <w:proofErr w:type="gramEnd"/>
      <w:r w:rsidR="00FC6424" w:rsidRPr="008B7F94">
        <w:rPr>
          <w:lang w:val="en-US"/>
        </w:rPr>
        <w:t xml:space="preserve"> </w:t>
      </w:r>
      <w:proofErr w:type="gramStart"/>
      <w:r w:rsidR="00FC6424" w:rsidRPr="008B7F94">
        <w:rPr>
          <w:lang w:val="en-US"/>
        </w:rPr>
        <w:t xml:space="preserve">J </w:t>
      </w:r>
      <w:proofErr w:type="spellStart"/>
      <w:r w:rsidR="00FC6424" w:rsidRPr="008B7F94">
        <w:rPr>
          <w:lang w:val="en-US"/>
        </w:rPr>
        <w:t>Physiol</w:t>
      </w:r>
      <w:proofErr w:type="spellEnd"/>
      <w:r w:rsidR="00FC6424" w:rsidRPr="008B7F94">
        <w:rPr>
          <w:lang w:val="en-US"/>
        </w:rPr>
        <w:t xml:space="preserve"> 1992; 455:111-42.</w:t>
      </w:r>
      <w:proofErr w:type="gramEnd"/>
      <w:r w:rsidR="00FC6424" w:rsidRPr="008B7F94">
        <w:rPr>
          <w:lang w:val="en-US"/>
        </w:rPr>
        <w:t xml:space="preserve"> &lt; </w:t>
      </w:r>
      <w:r w:rsidR="00FC6424" w:rsidRPr="008B7F94">
        <w:rPr>
          <w:rFonts w:eastAsia="Times New Roman"/>
          <w:lang w:val="en-US" w:eastAsia="ru-RU"/>
        </w:rPr>
        <w:t>PMID: 1282928&gt;</w:t>
      </w:r>
    </w:p>
    <w:p w:rsidR="005D6479" w:rsidRPr="008B7F94" w:rsidRDefault="005D6479" w:rsidP="005D6479">
      <w:pPr>
        <w:spacing w:after="120" w:line="360" w:lineRule="auto"/>
        <w:rPr>
          <w:lang w:val="en-US"/>
        </w:rPr>
      </w:pPr>
      <w:r w:rsidRPr="008B7F94">
        <w:rPr>
          <w:lang w:val="en-US"/>
        </w:rPr>
        <w:t>33</w:t>
      </w:r>
      <w:r w:rsidR="008D42F0" w:rsidRPr="008B7F94">
        <w:rPr>
          <w:lang w:val="en-US"/>
        </w:rPr>
        <w:t>.</w:t>
      </w:r>
      <w:r w:rsidRPr="008B7F94">
        <w:rPr>
          <w:lang w:val="en-US"/>
        </w:rPr>
        <w:t xml:space="preserve"> </w:t>
      </w:r>
      <w:proofErr w:type="spellStart"/>
      <w:r w:rsidRPr="008B7F94">
        <w:rPr>
          <w:lang w:val="en-US"/>
        </w:rPr>
        <w:t>Cervetto</w:t>
      </w:r>
      <w:proofErr w:type="spellEnd"/>
      <w:r w:rsidRPr="008B7F94">
        <w:rPr>
          <w:lang w:val="en-US"/>
        </w:rPr>
        <w:t xml:space="preserve"> L, </w:t>
      </w:r>
      <w:proofErr w:type="spellStart"/>
      <w:r w:rsidRPr="008B7F94">
        <w:rPr>
          <w:lang w:val="en-US"/>
        </w:rPr>
        <w:t>Lagnado</w:t>
      </w:r>
      <w:proofErr w:type="spellEnd"/>
      <w:r w:rsidRPr="008B7F94">
        <w:rPr>
          <w:lang w:val="en-US"/>
        </w:rPr>
        <w:t xml:space="preserve"> L, Perry RJ, Robinson DW, McNaughton PA. Extrusion of calcium from rod outer segments is driven by both sodium and potassium gradients. </w:t>
      </w:r>
      <w:proofErr w:type="gramStart"/>
      <w:r w:rsidRPr="008B7F94">
        <w:rPr>
          <w:lang w:val="en-US"/>
        </w:rPr>
        <w:t>Nature 1989; 337:740-3.</w:t>
      </w:r>
      <w:proofErr w:type="gramEnd"/>
      <w:r w:rsidRPr="008B7F94">
        <w:rPr>
          <w:lang w:val="en-US"/>
        </w:rPr>
        <w:t xml:space="preserve"> &lt;</w:t>
      </w:r>
      <w:r w:rsidRPr="008B7F94">
        <w:rPr>
          <w:rFonts w:eastAsia="Times New Roman"/>
          <w:lang w:val="en-US" w:eastAsia="ru-RU"/>
        </w:rPr>
        <w:t>PMID: 2537471&gt;</w:t>
      </w:r>
    </w:p>
    <w:p w:rsidR="005D6479" w:rsidRPr="008B7F94" w:rsidRDefault="005D6479" w:rsidP="005D6479">
      <w:pPr>
        <w:spacing w:after="120" w:line="360" w:lineRule="auto"/>
        <w:rPr>
          <w:rFonts w:eastAsia="Times New Roman"/>
          <w:lang w:val="en-US" w:eastAsia="ru-RU"/>
        </w:rPr>
      </w:pPr>
      <w:r w:rsidRPr="008B7F94">
        <w:rPr>
          <w:lang w:val="en-US"/>
        </w:rPr>
        <w:t>34</w:t>
      </w:r>
      <w:r w:rsidR="008D42F0" w:rsidRPr="008B7F94">
        <w:rPr>
          <w:lang w:val="en-US"/>
        </w:rPr>
        <w:t>.</w:t>
      </w:r>
      <w:r w:rsidRPr="008B7F94">
        <w:rPr>
          <w:lang w:val="en-US"/>
        </w:rPr>
        <w:t xml:space="preserve"> Baylor DA, Nunn BJ. </w:t>
      </w:r>
      <w:proofErr w:type="gramStart"/>
      <w:r w:rsidRPr="008B7F94">
        <w:rPr>
          <w:lang w:val="en-US"/>
        </w:rPr>
        <w:t xml:space="preserve">Electrical properties of the light-sensitive conductance of rods of the salamander </w:t>
      </w:r>
      <w:proofErr w:type="spellStart"/>
      <w:r w:rsidRPr="008B7F94">
        <w:rPr>
          <w:i/>
          <w:lang w:val="en-US"/>
        </w:rPr>
        <w:t>Ambystoma</w:t>
      </w:r>
      <w:proofErr w:type="spellEnd"/>
      <w:r w:rsidRPr="008B7F94">
        <w:rPr>
          <w:i/>
          <w:lang w:val="en-US"/>
        </w:rPr>
        <w:t xml:space="preserve"> </w:t>
      </w:r>
      <w:proofErr w:type="spellStart"/>
      <w:r w:rsidRPr="008B7F94">
        <w:rPr>
          <w:i/>
          <w:lang w:val="en-US"/>
        </w:rPr>
        <w:t>tigrinum</w:t>
      </w:r>
      <w:proofErr w:type="spellEnd"/>
      <w:r w:rsidRPr="008B7F94">
        <w:rPr>
          <w:lang w:val="en-US"/>
        </w:rPr>
        <w:t>.</w:t>
      </w:r>
      <w:proofErr w:type="gramEnd"/>
      <w:r w:rsidRPr="008B7F94">
        <w:rPr>
          <w:lang w:val="en-US"/>
        </w:rPr>
        <w:t xml:space="preserve"> </w:t>
      </w:r>
      <w:proofErr w:type="gramStart"/>
      <w:r w:rsidRPr="008B7F94">
        <w:rPr>
          <w:lang w:val="en-US"/>
        </w:rPr>
        <w:t>J Physiol. 1986; 371:115-45.</w:t>
      </w:r>
      <w:proofErr w:type="gramEnd"/>
      <w:r w:rsidRPr="008B7F94">
        <w:rPr>
          <w:lang w:val="en-US"/>
        </w:rPr>
        <w:t xml:space="preserve"> &lt;</w:t>
      </w:r>
      <w:r w:rsidRPr="008B7F94">
        <w:rPr>
          <w:rFonts w:eastAsia="Times New Roman"/>
          <w:lang w:val="en-US" w:eastAsia="ru-RU"/>
        </w:rPr>
        <w:t>PMID: 2422346&gt;</w:t>
      </w:r>
    </w:p>
    <w:p w:rsidR="005D6479" w:rsidRPr="008B7F94" w:rsidRDefault="005D6479" w:rsidP="005D6479">
      <w:pPr>
        <w:spacing w:after="120" w:line="360" w:lineRule="auto"/>
        <w:rPr>
          <w:lang w:val="en-US"/>
        </w:rPr>
      </w:pPr>
      <w:r w:rsidRPr="008B7F94">
        <w:rPr>
          <w:lang w:val="en-US"/>
        </w:rPr>
        <w:t>35</w:t>
      </w:r>
      <w:r w:rsidR="008D42F0" w:rsidRPr="008B7F94">
        <w:rPr>
          <w:lang w:val="en-US"/>
        </w:rPr>
        <w:t>.</w:t>
      </w:r>
      <w:r w:rsidRPr="008B7F94">
        <w:rPr>
          <w:lang w:val="en-US"/>
        </w:rPr>
        <w:t xml:space="preserve"> Burns ME, Mendez A, Chen J, </w:t>
      </w:r>
      <w:proofErr w:type="gramStart"/>
      <w:r w:rsidRPr="008B7F94">
        <w:rPr>
          <w:lang w:val="en-US"/>
        </w:rPr>
        <w:t>Baylor</w:t>
      </w:r>
      <w:proofErr w:type="gramEnd"/>
      <w:r w:rsidRPr="008B7F94">
        <w:rPr>
          <w:lang w:val="en-US"/>
        </w:rPr>
        <w:t xml:space="preserve"> DA. </w:t>
      </w:r>
      <w:proofErr w:type="gramStart"/>
      <w:r w:rsidRPr="008B7F94">
        <w:rPr>
          <w:lang w:val="en-US"/>
        </w:rPr>
        <w:t>Dynamics of cyclic GMP synthesis in retinal rods.</w:t>
      </w:r>
      <w:proofErr w:type="gramEnd"/>
      <w:r w:rsidRPr="008B7F94">
        <w:rPr>
          <w:lang w:val="en-US"/>
        </w:rPr>
        <w:t xml:space="preserve"> Neuron 2002; 36:81-91. &lt; </w:t>
      </w:r>
      <w:r w:rsidRPr="008B7F94">
        <w:rPr>
          <w:rFonts w:eastAsia="Times New Roman"/>
          <w:lang w:val="en-US" w:eastAsia="ru-RU"/>
        </w:rPr>
        <w:t>PMID: 12367508&gt;</w:t>
      </w:r>
    </w:p>
    <w:p w:rsidR="005D6479" w:rsidRPr="008B7F94" w:rsidRDefault="005D6479" w:rsidP="005D6479">
      <w:pPr>
        <w:spacing w:after="120" w:line="360" w:lineRule="auto"/>
        <w:rPr>
          <w:rFonts w:eastAsia="Times New Roman"/>
          <w:lang w:val="en-US" w:eastAsia="ru-RU"/>
        </w:rPr>
      </w:pPr>
      <w:r w:rsidRPr="008B7F94">
        <w:rPr>
          <w:lang w:val="en-US"/>
        </w:rPr>
        <w:t>36</w:t>
      </w:r>
      <w:r w:rsidR="008D42F0" w:rsidRPr="008B7F94">
        <w:rPr>
          <w:lang w:val="en-US"/>
        </w:rPr>
        <w:t>.</w:t>
      </w:r>
      <w:r w:rsidRPr="008B7F94">
        <w:rPr>
          <w:lang w:val="en-US"/>
        </w:rPr>
        <w:t xml:space="preserve"> Gross OP, Pugh EN, Jr., Burns ME. Calcium feedback to cGMP synthesis strongly attenuates single-photon responses driven by long rhodopsin lifetimes. Neuron 2012; 76:370-82. &lt;</w:t>
      </w:r>
      <w:r w:rsidRPr="008B7F94">
        <w:rPr>
          <w:rFonts w:eastAsia="Times New Roman"/>
          <w:lang w:val="en-US" w:eastAsia="ru-RU"/>
        </w:rPr>
        <w:t>PMID: 23083739&gt;</w:t>
      </w:r>
    </w:p>
    <w:p w:rsidR="00D265CD" w:rsidRPr="008B7F94" w:rsidRDefault="00D265CD" w:rsidP="00D265CD">
      <w:pPr>
        <w:spacing w:after="120" w:line="360" w:lineRule="auto"/>
        <w:rPr>
          <w:rFonts w:eastAsia="Times New Roman"/>
          <w:lang w:val="en-US" w:eastAsia="ru-RU"/>
        </w:rPr>
      </w:pPr>
      <w:r w:rsidRPr="008B7F94">
        <w:rPr>
          <w:lang w:val="en-US"/>
        </w:rPr>
        <w:t xml:space="preserve">37. </w:t>
      </w:r>
      <w:proofErr w:type="spellStart"/>
      <w:r w:rsidRPr="008B7F94">
        <w:rPr>
          <w:lang w:val="en-US"/>
        </w:rPr>
        <w:t>Astakhova</w:t>
      </w:r>
      <w:proofErr w:type="spellEnd"/>
      <w:r w:rsidRPr="008B7F94">
        <w:rPr>
          <w:lang w:val="en-US"/>
        </w:rPr>
        <w:t xml:space="preserve"> LA, </w:t>
      </w:r>
      <w:proofErr w:type="spellStart"/>
      <w:r w:rsidRPr="008B7F94">
        <w:rPr>
          <w:lang w:val="en-US"/>
        </w:rPr>
        <w:t>Firsov</w:t>
      </w:r>
      <w:proofErr w:type="spellEnd"/>
      <w:r w:rsidRPr="008B7F94">
        <w:rPr>
          <w:lang w:val="en-US"/>
        </w:rPr>
        <w:t xml:space="preserve"> ML, </w:t>
      </w:r>
      <w:proofErr w:type="spellStart"/>
      <w:r w:rsidRPr="008B7F94">
        <w:rPr>
          <w:lang w:val="en-US"/>
        </w:rPr>
        <w:t>Govardovskii</w:t>
      </w:r>
      <w:proofErr w:type="spellEnd"/>
      <w:r w:rsidRPr="008B7F94">
        <w:rPr>
          <w:lang w:val="en-US"/>
        </w:rPr>
        <w:t xml:space="preserve"> VI. </w:t>
      </w:r>
      <w:proofErr w:type="gramStart"/>
      <w:r w:rsidRPr="008B7F94">
        <w:rPr>
          <w:lang w:val="en-US"/>
        </w:rPr>
        <w:t>Kinetics of turn-offs of frog rod phototransduction cascade.</w:t>
      </w:r>
      <w:proofErr w:type="gramEnd"/>
      <w:r w:rsidRPr="008B7F94">
        <w:rPr>
          <w:lang w:val="en-US"/>
        </w:rPr>
        <w:t xml:space="preserve"> J Gen </w:t>
      </w:r>
      <w:proofErr w:type="spellStart"/>
      <w:r w:rsidRPr="008B7F94">
        <w:rPr>
          <w:lang w:val="en-US"/>
        </w:rPr>
        <w:t>Physiol</w:t>
      </w:r>
      <w:proofErr w:type="spellEnd"/>
      <w:r w:rsidRPr="008B7F94">
        <w:rPr>
          <w:lang w:val="en-US"/>
        </w:rPr>
        <w:t xml:space="preserve"> 2008; 132:587-604.  &lt; </w:t>
      </w:r>
      <w:r w:rsidRPr="008B7F94">
        <w:rPr>
          <w:rFonts w:eastAsia="Times New Roman"/>
          <w:lang w:val="en-US" w:eastAsia="ru-RU"/>
        </w:rPr>
        <w:t>PMID: 18955597&gt;</w:t>
      </w:r>
    </w:p>
    <w:p w:rsidR="00D265CD" w:rsidRPr="008B7F94" w:rsidRDefault="00D265CD" w:rsidP="005D6479">
      <w:pPr>
        <w:spacing w:after="120" w:line="360" w:lineRule="auto"/>
        <w:rPr>
          <w:rFonts w:eastAsia="Times New Roman"/>
          <w:lang w:val="en-US" w:eastAsia="ru-RU"/>
        </w:rPr>
      </w:pPr>
    </w:p>
    <w:p w:rsidR="005D6479" w:rsidRPr="008B7F94" w:rsidRDefault="005D6479" w:rsidP="005D6479">
      <w:pPr>
        <w:spacing w:after="120" w:line="360" w:lineRule="auto"/>
        <w:rPr>
          <w:lang w:val="en-US"/>
        </w:rPr>
      </w:pPr>
      <w:r w:rsidRPr="008B7F94">
        <w:rPr>
          <w:lang w:val="en-US"/>
        </w:rPr>
        <w:lastRenderedPageBreak/>
        <w:t>38</w:t>
      </w:r>
      <w:r w:rsidR="008D42F0" w:rsidRPr="008B7F94">
        <w:rPr>
          <w:lang w:val="en-US"/>
        </w:rPr>
        <w:t>.</w:t>
      </w:r>
      <w:r w:rsidRPr="008B7F94">
        <w:rPr>
          <w:lang w:val="en-US"/>
        </w:rPr>
        <w:t xml:space="preserve"> </w:t>
      </w:r>
      <w:proofErr w:type="spellStart"/>
      <w:r w:rsidRPr="008B7F94">
        <w:rPr>
          <w:lang w:val="en-US"/>
        </w:rPr>
        <w:t>Picones</w:t>
      </w:r>
      <w:proofErr w:type="spellEnd"/>
      <w:r w:rsidRPr="008B7F94">
        <w:rPr>
          <w:lang w:val="en-US"/>
        </w:rPr>
        <w:t xml:space="preserve"> A, </w:t>
      </w:r>
      <w:proofErr w:type="spellStart"/>
      <w:r w:rsidRPr="008B7F94">
        <w:rPr>
          <w:lang w:val="en-US"/>
        </w:rPr>
        <w:t>Korenbrot</w:t>
      </w:r>
      <w:proofErr w:type="spellEnd"/>
      <w:r w:rsidRPr="008B7F94">
        <w:rPr>
          <w:lang w:val="en-US"/>
        </w:rPr>
        <w:t xml:space="preserve"> JI. </w:t>
      </w:r>
      <w:proofErr w:type="gramStart"/>
      <w:r w:rsidRPr="008B7F94">
        <w:rPr>
          <w:lang w:val="en-US"/>
        </w:rPr>
        <w:t xml:space="preserve">Permeation and interaction of </w:t>
      </w:r>
      <w:proofErr w:type="spellStart"/>
      <w:r w:rsidRPr="008B7F94">
        <w:rPr>
          <w:lang w:val="en-US"/>
        </w:rPr>
        <w:t>monovalent</w:t>
      </w:r>
      <w:proofErr w:type="spellEnd"/>
      <w:r w:rsidRPr="008B7F94">
        <w:rPr>
          <w:lang w:val="en-US"/>
        </w:rPr>
        <w:t xml:space="preserve"> </w:t>
      </w:r>
      <w:proofErr w:type="spellStart"/>
      <w:r w:rsidRPr="008B7F94">
        <w:rPr>
          <w:lang w:val="en-US"/>
        </w:rPr>
        <w:t>cations</w:t>
      </w:r>
      <w:proofErr w:type="spellEnd"/>
      <w:r w:rsidRPr="008B7F94">
        <w:rPr>
          <w:lang w:val="en-US"/>
        </w:rPr>
        <w:t xml:space="preserve"> with the cGMP-gated channel of cone photoreceptors.</w:t>
      </w:r>
      <w:proofErr w:type="gramEnd"/>
      <w:r w:rsidRPr="008B7F94">
        <w:rPr>
          <w:lang w:val="en-US"/>
        </w:rPr>
        <w:t xml:space="preserve"> </w:t>
      </w:r>
      <w:proofErr w:type="gramStart"/>
      <w:r w:rsidRPr="008B7F94">
        <w:rPr>
          <w:lang w:val="en-US"/>
        </w:rPr>
        <w:t xml:space="preserve">J Gen </w:t>
      </w:r>
      <w:proofErr w:type="spellStart"/>
      <w:r w:rsidRPr="008B7F94">
        <w:rPr>
          <w:lang w:val="en-US"/>
        </w:rPr>
        <w:t>Physiol</w:t>
      </w:r>
      <w:proofErr w:type="spellEnd"/>
      <w:r w:rsidRPr="008B7F94">
        <w:rPr>
          <w:lang w:val="en-US"/>
        </w:rPr>
        <w:t xml:space="preserve"> 1992; 100:647-73.</w:t>
      </w:r>
      <w:proofErr w:type="gramEnd"/>
    </w:p>
    <w:p w:rsidR="00B5019C" w:rsidRPr="008B7F94" w:rsidRDefault="00B5019C" w:rsidP="005D6479">
      <w:pPr>
        <w:spacing w:after="120" w:line="360" w:lineRule="auto"/>
        <w:rPr>
          <w:rFonts w:eastAsia="Times New Roman"/>
          <w:lang w:val="en-US" w:eastAsia="ru-RU"/>
        </w:rPr>
      </w:pPr>
      <w:r w:rsidRPr="008B7F94">
        <w:rPr>
          <w:lang w:val="en-US"/>
        </w:rPr>
        <w:t>39</w:t>
      </w:r>
      <w:r w:rsidR="00635007" w:rsidRPr="008B7F94">
        <w:rPr>
          <w:lang w:val="en-US"/>
        </w:rPr>
        <w:t>.</w:t>
      </w:r>
      <w:r w:rsidRPr="008B7F94">
        <w:rPr>
          <w:lang w:val="en-US"/>
        </w:rPr>
        <w:t xml:space="preserve"> Lamb TD, Pugh EN, Jr. A quantitative account of the activation steps involved in phototransduction in amphibian photoreceptors. </w:t>
      </w:r>
      <w:proofErr w:type="gramStart"/>
      <w:r w:rsidRPr="008B7F94">
        <w:rPr>
          <w:lang w:val="en-US"/>
        </w:rPr>
        <w:t xml:space="preserve">J </w:t>
      </w:r>
      <w:proofErr w:type="spellStart"/>
      <w:r w:rsidRPr="008B7F94">
        <w:rPr>
          <w:lang w:val="en-US"/>
        </w:rPr>
        <w:t>Physiol</w:t>
      </w:r>
      <w:proofErr w:type="spellEnd"/>
      <w:r w:rsidRPr="008B7F94">
        <w:rPr>
          <w:lang w:val="en-US"/>
        </w:rPr>
        <w:t xml:space="preserve"> 1992; 449:719-58.</w:t>
      </w:r>
      <w:proofErr w:type="gramEnd"/>
      <w:r w:rsidRPr="008B7F94">
        <w:rPr>
          <w:lang w:val="en-US"/>
        </w:rPr>
        <w:t xml:space="preserve"> &lt; </w:t>
      </w:r>
      <w:r w:rsidRPr="008B7F94">
        <w:rPr>
          <w:rFonts w:eastAsia="Times New Roman"/>
          <w:lang w:val="en-US" w:eastAsia="ru-RU"/>
        </w:rPr>
        <w:t>PMID: 1326052&gt;</w:t>
      </w:r>
    </w:p>
    <w:p w:rsidR="00BE35C2" w:rsidRPr="008B7F94" w:rsidRDefault="00BE35C2" w:rsidP="00BE35C2">
      <w:pPr>
        <w:spacing w:after="120" w:line="360" w:lineRule="auto"/>
        <w:rPr>
          <w:lang w:val="en-US"/>
        </w:rPr>
      </w:pPr>
      <w:r w:rsidRPr="008B7F94">
        <w:rPr>
          <w:lang w:val="en-US"/>
        </w:rPr>
        <w:t>4</w:t>
      </w:r>
      <w:r w:rsidR="00635007" w:rsidRPr="008B7F94">
        <w:rPr>
          <w:lang w:val="en-US"/>
        </w:rPr>
        <w:t>0.</w:t>
      </w:r>
      <w:r w:rsidRPr="008B7F94">
        <w:rPr>
          <w:lang w:val="en-US"/>
        </w:rPr>
        <w:t xml:space="preserve"> Makino CL, Taylor WR, Baylor DA. </w:t>
      </w:r>
      <w:proofErr w:type="gramStart"/>
      <w:r w:rsidRPr="008B7F94">
        <w:rPr>
          <w:lang w:val="en-US"/>
        </w:rPr>
        <w:t xml:space="preserve">Rapid charge movements and photosensitivity </w:t>
      </w:r>
      <w:r w:rsidRPr="008B7F94">
        <w:rPr>
          <w:lang w:val="en-US"/>
        </w:rPr>
        <w:tab/>
        <w:t>of visual pigments in salamander rods and cones.</w:t>
      </w:r>
      <w:proofErr w:type="gramEnd"/>
      <w:r w:rsidRPr="008B7F94">
        <w:rPr>
          <w:lang w:val="en-US"/>
        </w:rPr>
        <w:t xml:space="preserve"> </w:t>
      </w:r>
      <w:proofErr w:type="gramStart"/>
      <w:r w:rsidRPr="008B7F94">
        <w:rPr>
          <w:lang w:val="en-US"/>
        </w:rPr>
        <w:t xml:space="preserve">J </w:t>
      </w:r>
      <w:proofErr w:type="spellStart"/>
      <w:r w:rsidRPr="008B7F94">
        <w:rPr>
          <w:lang w:val="en-US"/>
        </w:rPr>
        <w:t>Physiol</w:t>
      </w:r>
      <w:proofErr w:type="spellEnd"/>
      <w:r w:rsidRPr="008B7F94">
        <w:rPr>
          <w:lang w:val="en-US"/>
        </w:rPr>
        <w:t xml:space="preserve"> 1991; 442:761-80.</w:t>
      </w:r>
      <w:proofErr w:type="gramEnd"/>
      <w:r w:rsidRPr="008B7F94">
        <w:rPr>
          <w:lang w:val="en-US"/>
        </w:rPr>
        <w:t xml:space="preserve"> &lt; </w:t>
      </w:r>
      <w:r w:rsidRPr="008B7F94">
        <w:rPr>
          <w:rFonts w:eastAsia="Times New Roman"/>
          <w:lang w:val="en-US" w:eastAsia="ru-RU"/>
        </w:rPr>
        <w:t>PMID: 1818565&gt;</w:t>
      </w:r>
    </w:p>
    <w:p w:rsidR="00BE35C2" w:rsidRPr="008B7F94" w:rsidRDefault="00BE35C2" w:rsidP="00BE35C2">
      <w:pPr>
        <w:spacing w:after="120" w:line="360" w:lineRule="auto"/>
        <w:rPr>
          <w:rFonts w:eastAsia="Times New Roman"/>
          <w:lang w:val="en-US" w:eastAsia="ru-RU"/>
        </w:rPr>
      </w:pPr>
      <w:r w:rsidRPr="008B7F94">
        <w:rPr>
          <w:lang w:val="en-US"/>
        </w:rPr>
        <w:t>4</w:t>
      </w:r>
      <w:r w:rsidR="00635007" w:rsidRPr="008B7F94">
        <w:rPr>
          <w:lang w:val="en-US"/>
        </w:rPr>
        <w:t>1.</w:t>
      </w:r>
      <w:r w:rsidRPr="008B7F94">
        <w:rPr>
          <w:lang w:val="en-US"/>
        </w:rPr>
        <w:t xml:space="preserve"> Perry RJ, McNaughton PA. </w:t>
      </w:r>
      <w:proofErr w:type="gramStart"/>
      <w:r w:rsidRPr="008B7F94">
        <w:rPr>
          <w:lang w:val="en-US"/>
        </w:rPr>
        <w:t>Response properties of cones from the retina of the tiger salamander.</w:t>
      </w:r>
      <w:proofErr w:type="gramEnd"/>
      <w:r w:rsidRPr="008B7F94">
        <w:rPr>
          <w:lang w:val="en-US"/>
        </w:rPr>
        <w:t xml:space="preserve"> </w:t>
      </w:r>
      <w:proofErr w:type="gramStart"/>
      <w:r w:rsidRPr="008B7F94">
        <w:rPr>
          <w:lang w:val="en-US"/>
        </w:rPr>
        <w:t xml:space="preserve">J </w:t>
      </w:r>
      <w:proofErr w:type="spellStart"/>
      <w:r w:rsidRPr="008B7F94">
        <w:rPr>
          <w:lang w:val="en-US"/>
        </w:rPr>
        <w:t>Physiol</w:t>
      </w:r>
      <w:proofErr w:type="spellEnd"/>
      <w:r w:rsidRPr="008B7F94">
        <w:rPr>
          <w:lang w:val="en-US"/>
        </w:rPr>
        <w:t xml:space="preserve"> 1991; 433:561-87.</w:t>
      </w:r>
      <w:proofErr w:type="gramEnd"/>
      <w:r w:rsidRPr="008B7F94">
        <w:rPr>
          <w:lang w:val="en-US"/>
        </w:rPr>
        <w:t xml:space="preserve"> &lt; </w:t>
      </w:r>
      <w:r w:rsidRPr="008B7F94">
        <w:rPr>
          <w:rFonts w:eastAsia="Times New Roman"/>
          <w:lang w:val="en-US" w:eastAsia="ru-RU"/>
        </w:rPr>
        <w:t>PMID: 1841958&gt;</w:t>
      </w:r>
    </w:p>
    <w:p w:rsidR="00BE35C2" w:rsidRPr="008B7F94" w:rsidRDefault="00BE35C2" w:rsidP="00BE35C2">
      <w:pPr>
        <w:spacing w:after="120" w:line="360" w:lineRule="auto"/>
        <w:rPr>
          <w:lang w:val="en-US"/>
        </w:rPr>
      </w:pPr>
      <w:r w:rsidRPr="008B7F94">
        <w:rPr>
          <w:lang w:val="en-US"/>
        </w:rPr>
        <w:t>4</w:t>
      </w:r>
      <w:r w:rsidR="00635007" w:rsidRPr="008B7F94">
        <w:rPr>
          <w:lang w:val="en-US"/>
        </w:rPr>
        <w:t>2.</w:t>
      </w:r>
      <w:r w:rsidRPr="008B7F94">
        <w:rPr>
          <w:lang w:val="en-US"/>
        </w:rPr>
        <w:t xml:space="preserve"> Palacios AG, Goldsmith TH, Bernard GD. Sensitivity of cones from a cyprinid fish (</w:t>
      </w:r>
      <w:proofErr w:type="spellStart"/>
      <w:r w:rsidRPr="008B7F94">
        <w:rPr>
          <w:i/>
          <w:lang w:val="en-US"/>
        </w:rPr>
        <w:t>Danio</w:t>
      </w:r>
      <w:proofErr w:type="spellEnd"/>
      <w:r w:rsidRPr="008B7F94">
        <w:rPr>
          <w:i/>
          <w:lang w:val="en-US"/>
        </w:rPr>
        <w:t xml:space="preserve"> </w:t>
      </w:r>
      <w:proofErr w:type="spellStart"/>
      <w:r w:rsidRPr="008B7F94">
        <w:rPr>
          <w:i/>
          <w:lang w:val="en-US"/>
        </w:rPr>
        <w:t>aequipinnatus</w:t>
      </w:r>
      <w:proofErr w:type="spellEnd"/>
      <w:r w:rsidRPr="008B7F94">
        <w:rPr>
          <w:lang w:val="en-US"/>
        </w:rPr>
        <w:t xml:space="preserve">) to ultraviolet and visible light. </w:t>
      </w:r>
      <w:proofErr w:type="gramStart"/>
      <w:r w:rsidRPr="008B7F94">
        <w:rPr>
          <w:lang w:val="en-US"/>
        </w:rPr>
        <w:t xml:space="preserve">Vis </w:t>
      </w:r>
      <w:proofErr w:type="spellStart"/>
      <w:r w:rsidRPr="008B7F94">
        <w:rPr>
          <w:lang w:val="en-US"/>
        </w:rPr>
        <w:t>Neurosci</w:t>
      </w:r>
      <w:proofErr w:type="spellEnd"/>
      <w:r w:rsidRPr="008B7F94">
        <w:rPr>
          <w:lang w:val="en-US"/>
        </w:rPr>
        <w:t xml:space="preserve"> 1996; 13:411-21.</w:t>
      </w:r>
      <w:proofErr w:type="gramEnd"/>
      <w:r w:rsidRPr="008B7F94">
        <w:rPr>
          <w:lang w:val="en-US"/>
        </w:rPr>
        <w:t xml:space="preserve"> &lt; </w:t>
      </w:r>
      <w:r w:rsidRPr="008B7F94">
        <w:rPr>
          <w:rFonts w:eastAsia="Times New Roman"/>
          <w:lang w:val="en-US" w:eastAsia="ru-RU"/>
        </w:rPr>
        <w:t>PMID: 8782369&gt;</w:t>
      </w:r>
    </w:p>
    <w:p w:rsidR="00BE35C2" w:rsidRPr="008B7F94" w:rsidRDefault="00BE35C2" w:rsidP="00BE35C2">
      <w:pPr>
        <w:spacing w:after="120" w:line="360" w:lineRule="auto"/>
        <w:rPr>
          <w:lang w:val="en-US"/>
        </w:rPr>
      </w:pPr>
      <w:r w:rsidRPr="008B7F94">
        <w:rPr>
          <w:lang w:val="en-US"/>
        </w:rPr>
        <w:t>4</w:t>
      </w:r>
      <w:r w:rsidR="00635007" w:rsidRPr="008B7F94">
        <w:rPr>
          <w:lang w:val="en-US"/>
        </w:rPr>
        <w:t>3.</w:t>
      </w:r>
      <w:r w:rsidRPr="008B7F94">
        <w:rPr>
          <w:lang w:val="en-US"/>
        </w:rPr>
        <w:t xml:space="preserve"> Palacios AG, Varela FJ, Srivastava R, Goldsmith TH. </w:t>
      </w:r>
      <w:proofErr w:type="gramStart"/>
      <w:r w:rsidRPr="008B7F94">
        <w:rPr>
          <w:lang w:val="en-US"/>
        </w:rPr>
        <w:t xml:space="preserve">Spectral sensitivity of cones in the goldfish, </w:t>
      </w:r>
      <w:r w:rsidRPr="008B7F94">
        <w:rPr>
          <w:i/>
          <w:lang w:val="en-US"/>
        </w:rPr>
        <w:t xml:space="preserve">Carassius </w:t>
      </w:r>
      <w:proofErr w:type="spellStart"/>
      <w:r w:rsidRPr="008B7F94">
        <w:rPr>
          <w:i/>
          <w:lang w:val="en-US"/>
        </w:rPr>
        <w:t>auratus</w:t>
      </w:r>
      <w:proofErr w:type="spellEnd"/>
      <w:r w:rsidRPr="008B7F94">
        <w:rPr>
          <w:lang w:val="en-US"/>
        </w:rPr>
        <w:t>.</w:t>
      </w:r>
      <w:proofErr w:type="gramEnd"/>
      <w:r w:rsidRPr="008B7F94">
        <w:rPr>
          <w:lang w:val="en-US"/>
        </w:rPr>
        <w:t xml:space="preserve"> Vision Res. 1998; 38:2135-46. &lt; </w:t>
      </w:r>
      <w:r w:rsidRPr="008B7F94">
        <w:rPr>
          <w:rFonts w:eastAsia="Times New Roman"/>
          <w:lang w:val="en-US" w:eastAsia="ru-RU"/>
        </w:rPr>
        <w:t>PMID: 9797974&gt;</w:t>
      </w:r>
    </w:p>
    <w:p w:rsidR="00BE35C2" w:rsidRPr="008B7F94" w:rsidRDefault="00BE35C2" w:rsidP="00BE35C2">
      <w:pPr>
        <w:spacing w:after="120" w:line="360" w:lineRule="auto"/>
        <w:rPr>
          <w:rFonts w:eastAsia="Times New Roman"/>
          <w:lang w:val="en-US" w:eastAsia="ru-RU"/>
        </w:rPr>
      </w:pPr>
      <w:r w:rsidRPr="008B7F94">
        <w:rPr>
          <w:lang w:val="en-US"/>
        </w:rPr>
        <w:t>4</w:t>
      </w:r>
      <w:r w:rsidR="00635007" w:rsidRPr="008B7F94">
        <w:rPr>
          <w:lang w:val="en-US"/>
        </w:rPr>
        <w:t>4.</w:t>
      </w:r>
      <w:r w:rsidRPr="008B7F94">
        <w:rPr>
          <w:lang w:val="en-US"/>
        </w:rPr>
        <w:t xml:space="preserve">  Matthews HR, Fain GL, Murphy RL, Lamb TD. Light adaptation in cone photoreceptors of the salamander: a role for cytoplasmic calcium. </w:t>
      </w:r>
      <w:proofErr w:type="gramStart"/>
      <w:r w:rsidRPr="008B7F94">
        <w:rPr>
          <w:lang w:val="en-US"/>
        </w:rPr>
        <w:t xml:space="preserve">J </w:t>
      </w:r>
      <w:proofErr w:type="spellStart"/>
      <w:r w:rsidRPr="008B7F94">
        <w:rPr>
          <w:lang w:val="en-US"/>
        </w:rPr>
        <w:t>Physiol</w:t>
      </w:r>
      <w:proofErr w:type="spellEnd"/>
      <w:r w:rsidRPr="008B7F94">
        <w:rPr>
          <w:lang w:val="en-US"/>
        </w:rPr>
        <w:t xml:space="preserve"> 1990; 420:447-69.</w:t>
      </w:r>
      <w:proofErr w:type="gramEnd"/>
      <w:r w:rsidRPr="008B7F94">
        <w:rPr>
          <w:lang w:val="en-US"/>
        </w:rPr>
        <w:t xml:space="preserve"> &lt; </w:t>
      </w:r>
      <w:r w:rsidRPr="008B7F94">
        <w:rPr>
          <w:rFonts w:eastAsia="Times New Roman"/>
          <w:lang w:val="en-US" w:eastAsia="ru-RU"/>
        </w:rPr>
        <w:t>PMID: 2109062&gt;</w:t>
      </w:r>
    </w:p>
    <w:p w:rsidR="0091321B" w:rsidRPr="008B7F94" w:rsidRDefault="0091321B" w:rsidP="0091321B">
      <w:pPr>
        <w:spacing w:after="120" w:line="360" w:lineRule="auto"/>
        <w:rPr>
          <w:rFonts w:eastAsia="Times New Roman"/>
          <w:lang w:val="en-US" w:eastAsia="ru-RU"/>
        </w:rPr>
      </w:pPr>
      <w:r w:rsidRPr="008B7F94">
        <w:rPr>
          <w:lang w:val="en-US"/>
        </w:rPr>
        <w:t>4</w:t>
      </w:r>
      <w:r w:rsidR="00635007" w:rsidRPr="008B7F94">
        <w:rPr>
          <w:lang w:val="en-US"/>
        </w:rPr>
        <w:t>5.</w:t>
      </w:r>
      <w:r w:rsidRPr="008B7F94">
        <w:rPr>
          <w:lang w:val="en-US"/>
        </w:rPr>
        <w:t xml:space="preserve"> </w:t>
      </w:r>
      <w:proofErr w:type="spellStart"/>
      <w:r w:rsidRPr="008B7F94">
        <w:rPr>
          <w:lang w:val="en-US"/>
        </w:rPr>
        <w:t>Sampath</w:t>
      </w:r>
      <w:proofErr w:type="spellEnd"/>
      <w:r w:rsidRPr="008B7F94">
        <w:rPr>
          <w:lang w:val="en-US"/>
        </w:rPr>
        <w:t xml:space="preserve"> AP, Matthews HR, Cornwall MC, </w:t>
      </w:r>
      <w:proofErr w:type="spellStart"/>
      <w:r w:rsidRPr="008B7F94">
        <w:rPr>
          <w:lang w:val="en-US"/>
        </w:rPr>
        <w:t>Bandarchi</w:t>
      </w:r>
      <w:proofErr w:type="spellEnd"/>
      <w:r w:rsidRPr="008B7F94">
        <w:rPr>
          <w:lang w:val="en-US"/>
        </w:rPr>
        <w:t xml:space="preserve"> J, Fain GL. Light-dependent changes in outer segment free-Ca</w:t>
      </w:r>
      <w:r w:rsidRPr="008B7F94">
        <w:rPr>
          <w:vertAlign w:val="superscript"/>
          <w:lang w:val="en-US"/>
        </w:rPr>
        <w:t>2+</w:t>
      </w:r>
      <w:r w:rsidRPr="008B7F94">
        <w:rPr>
          <w:lang w:val="en-US"/>
        </w:rPr>
        <w:t xml:space="preserve"> concentration in salamander cone photoreceptors. </w:t>
      </w:r>
      <w:proofErr w:type="gramStart"/>
      <w:r w:rsidRPr="008B7F94">
        <w:rPr>
          <w:lang w:val="en-US"/>
        </w:rPr>
        <w:t xml:space="preserve">J Gen </w:t>
      </w:r>
      <w:proofErr w:type="spellStart"/>
      <w:r w:rsidRPr="008B7F94">
        <w:rPr>
          <w:lang w:val="en-US"/>
        </w:rPr>
        <w:t>Physiol</w:t>
      </w:r>
      <w:proofErr w:type="spellEnd"/>
      <w:r w:rsidRPr="008B7F94">
        <w:rPr>
          <w:lang w:val="en-US"/>
        </w:rPr>
        <w:t xml:space="preserve"> 1999; 113:267-77.</w:t>
      </w:r>
      <w:proofErr w:type="gramEnd"/>
      <w:r w:rsidRPr="008B7F94">
        <w:rPr>
          <w:lang w:val="en-US"/>
        </w:rPr>
        <w:t xml:space="preserve"> &lt; </w:t>
      </w:r>
      <w:r w:rsidRPr="008B7F94">
        <w:rPr>
          <w:rFonts w:eastAsia="Times New Roman"/>
          <w:lang w:val="en-US" w:eastAsia="ru-RU"/>
        </w:rPr>
        <w:t>PMID: 9925824&gt;</w:t>
      </w:r>
    </w:p>
    <w:p w:rsidR="0091321B" w:rsidRPr="008B7F94" w:rsidRDefault="0091321B" w:rsidP="0091321B">
      <w:pPr>
        <w:spacing w:after="120" w:line="360" w:lineRule="auto"/>
        <w:rPr>
          <w:lang w:val="en-US"/>
        </w:rPr>
      </w:pPr>
      <w:r w:rsidRPr="008B7F94">
        <w:rPr>
          <w:lang w:val="en-US"/>
        </w:rPr>
        <w:t>4</w:t>
      </w:r>
      <w:r w:rsidR="00635007" w:rsidRPr="008B7F94">
        <w:rPr>
          <w:lang w:val="en-US"/>
        </w:rPr>
        <w:t>6.</w:t>
      </w:r>
      <w:r w:rsidRPr="008B7F94">
        <w:rPr>
          <w:lang w:val="en-US"/>
        </w:rPr>
        <w:t xml:space="preserve"> </w:t>
      </w:r>
      <w:proofErr w:type="spellStart"/>
      <w:r w:rsidRPr="008B7F94">
        <w:rPr>
          <w:lang w:val="en-US"/>
        </w:rPr>
        <w:t>Sheng</w:t>
      </w:r>
      <w:proofErr w:type="spellEnd"/>
      <w:r w:rsidRPr="008B7F94">
        <w:rPr>
          <w:lang w:val="en-US"/>
        </w:rPr>
        <w:t xml:space="preserve"> JZ, </w:t>
      </w:r>
      <w:proofErr w:type="spellStart"/>
      <w:r w:rsidRPr="008B7F94">
        <w:rPr>
          <w:lang w:val="en-US"/>
        </w:rPr>
        <w:t>Prinsen</w:t>
      </w:r>
      <w:proofErr w:type="spellEnd"/>
      <w:r w:rsidRPr="008B7F94">
        <w:rPr>
          <w:lang w:val="en-US"/>
        </w:rPr>
        <w:t xml:space="preserve"> CF, Clark RB, Giles WR, </w:t>
      </w:r>
      <w:proofErr w:type="spellStart"/>
      <w:r w:rsidRPr="008B7F94">
        <w:rPr>
          <w:lang w:val="en-US"/>
        </w:rPr>
        <w:t>Schnetkamp</w:t>
      </w:r>
      <w:proofErr w:type="spellEnd"/>
      <w:r w:rsidRPr="008B7F94">
        <w:rPr>
          <w:lang w:val="en-US"/>
        </w:rPr>
        <w:t xml:space="preserve"> PP. Na</w:t>
      </w:r>
      <w:r w:rsidRPr="008B7F94">
        <w:rPr>
          <w:vertAlign w:val="superscript"/>
          <w:lang w:val="en-US"/>
        </w:rPr>
        <w:t>+</w:t>
      </w:r>
      <w:r w:rsidRPr="008B7F94">
        <w:rPr>
          <w:lang w:val="en-US"/>
        </w:rPr>
        <w:t>-Ca</w:t>
      </w:r>
      <w:r w:rsidRPr="008B7F94">
        <w:rPr>
          <w:vertAlign w:val="superscript"/>
          <w:lang w:val="en-US"/>
        </w:rPr>
        <w:t>2+</w:t>
      </w:r>
      <w:r w:rsidRPr="008B7F94">
        <w:rPr>
          <w:lang w:val="en-US"/>
        </w:rPr>
        <w:t>-K</w:t>
      </w:r>
      <w:r w:rsidRPr="008B7F94">
        <w:rPr>
          <w:vertAlign w:val="superscript"/>
          <w:lang w:val="en-US"/>
        </w:rPr>
        <w:t>+</w:t>
      </w:r>
      <w:r w:rsidRPr="008B7F94">
        <w:rPr>
          <w:lang w:val="en-US"/>
        </w:rPr>
        <w:t xml:space="preserve"> currents measured in insect cells transfected with the retinal cone or rod Na</w:t>
      </w:r>
      <w:r w:rsidRPr="008B7F94">
        <w:rPr>
          <w:vertAlign w:val="superscript"/>
          <w:lang w:val="en-US"/>
        </w:rPr>
        <w:t>+</w:t>
      </w:r>
      <w:r w:rsidRPr="008B7F94">
        <w:rPr>
          <w:lang w:val="en-US"/>
        </w:rPr>
        <w:t>-Ca</w:t>
      </w:r>
      <w:r w:rsidRPr="008B7F94">
        <w:rPr>
          <w:vertAlign w:val="superscript"/>
          <w:lang w:val="en-US"/>
        </w:rPr>
        <w:t>2+</w:t>
      </w:r>
      <w:r w:rsidRPr="008B7F94">
        <w:rPr>
          <w:lang w:val="en-US"/>
        </w:rPr>
        <w:t>-K</w:t>
      </w:r>
      <w:r w:rsidRPr="008B7F94">
        <w:rPr>
          <w:vertAlign w:val="superscript"/>
          <w:lang w:val="en-US"/>
        </w:rPr>
        <w:t>+</w:t>
      </w:r>
      <w:r w:rsidRPr="008B7F94">
        <w:rPr>
          <w:lang w:val="en-US"/>
        </w:rPr>
        <w:t xml:space="preserve"> exchanger cDNA. </w:t>
      </w:r>
      <w:proofErr w:type="spellStart"/>
      <w:r w:rsidRPr="008B7F94">
        <w:rPr>
          <w:lang w:val="en-US"/>
        </w:rPr>
        <w:t>Biophys</w:t>
      </w:r>
      <w:proofErr w:type="spellEnd"/>
      <w:r w:rsidRPr="008B7F94">
        <w:rPr>
          <w:lang w:val="en-US"/>
        </w:rPr>
        <w:t xml:space="preserve"> </w:t>
      </w:r>
      <w:proofErr w:type="gramStart"/>
      <w:r w:rsidRPr="008B7F94">
        <w:rPr>
          <w:lang w:val="en-US"/>
        </w:rPr>
        <w:t>J  2000</w:t>
      </w:r>
      <w:proofErr w:type="gramEnd"/>
      <w:r w:rsidRPr="008B7F94">
        <w:rPr>
          <w:lang w:val="en-US"/>
        </w:rPr>
        <w:t xml:space="preserve">; 79:1945-53. &lt; </w:t>
      </w:r>
      <w:r w:rsidRPr="008B7F94">
        <w:rPr>
          <w:rFonts w:eastAsia="Times New Roman"/>
          <w:lang w:val="en-US" w:eastAsia="ru-RU"/>
        </w:rPr>
        <w:t>PMID: 11023899&gt;</w:t>
      </w:r>
    </w:p>
    <w:p w:rsidR="0091321B" w:rsidRPr="008B7F94" w:rsidRDefault="0091321B" w:rsidP="0091321B">
      <w:pPr>
        <w:spacing w:after="120" w:line="360" w:lineRule="auto"/>
        <w:rPr>
          <w:lang w:val="en-US"/>
        </w:rPr>
      </w:pPr>
      <w:r w:rsidRPr="008B7F94">
        <w:rPr>
          <w:lang w:val="en-US"/>
        </w:rPr>
        <w:t>4</w:t>
      </w:r>
      <w:r w:rsidR="00635007" w:rsidRPr="008B7F94">
        <w:rPr>
          <w:lang w:val="en-US"/>
        </w:rPr>
        <w:t>7.</w:t>
      </w:r>
      <w:r w:rsidRPr="008B7F94">
        <w:rPr>
          <w:lang w:val="en-US"/>
        </w:rPr>
        <w:t xml:space="preserve"> </w:t>
      </w:r>
      <w:proofErr w:type="spellStart"/>
      <w:r w:rsidRPr="008B7F94">
        <w:rPr>
          <w:lang w:val="en-US"/>
        </w:rPr>
        <w:t>Lagnado</w:t>
      </w:r>
      <w:proofErr w:type="spellEnd"/>
      <w:r w:rsidRPr="008B7F94">
        <w:rPr>
          <w:lang w:val="en-US"/>
        </w:rPr>
        <w:t xml:space="preserve"> L, </w:t>
      </w:r>
      <w:proofErr w:type="spellStart"/>
      <w:r w:rsidRPr="008B7F94">
        <w:rPr>
          <w:lang w:val="en-US"/>
        </w:rPr>
        <w:t>Cervetto</w:t>
      </w:r>
      <w:proofErr w:type="spellEnd"/>
      <w:r w:rsidRPr="008B7F94">
        <w:rPr>
          <w:lang w:val="en-US"/>
        </w:rPr>
        <w:t xml:space="preserve"> L, McNaughton PA. </w:t>
      </w:r>
      <w:proofErr w:type="gramStart"/>
      <w:r w:rsidRPr="008B7F94">
        <w:rPr>
          <w:lang w:val="en-US"/>
        </w:rPr>
        <w:t>Ion transport by the Na-Ca exchange in isolated rod outer segments.</w:t>
      </w:r>
      <w:proofErr w:type="gramEnd"/>
      <w:r w:rsidRPr="008B7F94">
        <w:rPr>
          <w:lang w:val="en-US"/>
        </w:rPr>
        <w:t xml:space="preserve"> </w:t>
      </w:r>
      <w:proofErr w:type="gramStart"/>
      <w:r w:rsidRPr="008B7F94">
        <w:rPr>
          <w:lang w:val="en-US"/>
        </w:rPr>
        <w:t xml:space="preserve">Proc </w:t>
      </w:r>
      <w:proofErr w:type="spellStart"/>
      <w:r w:rsidRPr="008B7F94">
        <w:rPr>
          <w:lang w:val="en-US"/>
        </w:rPr>
        <w:t>Natl</w:t>
      </w:r>
      <w:proofErr w:type="spellEnd"/>
      <w:r w:rsidRPr="008B7F94">
        <w:rPr>
          <w:lang w:val="en-US"/>
        </w:rPr>
        <w:t xml:space="preserve"> </w:t>
      </w:r>
      <w:proofErr w:type="spellStart"/>
      <w:r w:rsidRPr="008B7F94">
        <w:rPr>
          <w:lang w:val="en-US"/>
        </w:rPr>
        <w:t>Acad</w:t>
      </w:r>
      <w:proofErr w:type="spellEnd"/>
      <w:r w:rsidRPr="008B7F94">
        <w:rPr>
          <w:lang w:val="en-US"/>
        </w:rPr>
        <w:t xml:space="preserve"> </w:t>
      </w:r>
      <w:proofErr w:type="spellStart"/>
      <w:r w:rsidRPr="008B7F94">
        <w:rPr>
          <w:lang w:val="en-US"/>
        </w:rPr>
        <w:t>Sci</w:t>
      </w:r>
      <w:proofErr w:type="spellEnd"/>
      <w:r w:rsidRPr="008B7F94">
        <w:rPr>
          <w:lang w:val="en-US"/>
        </w:rPr>
        <w:t xml:space="preserve"> USA 1988; 85:4548-52.</w:t>
      </w:r>
      <w:proofErr w:type="gramEnd"/>
      <w:r w:rsidRPr="008B7F94">
        <w:rPr>
          <w:lang w:val="en-US"/>
        </w:rPr>
        <w:t xml:space="preserve"> &lt; </w:t>
      </w:r>
      <w:r w:rsidRPr="008B7F94">
        <w:rPr>
          <w:rFonts w:eastAsia="Times New Roman"/>
          <w:lang w:val="en-US" w:eastAsia="ru-RU"/>
        </w:rPr>
        <w:t>PMID: 3380806&gt;</w:t>
      </w:r>
    </w:p>
    <w:p w:rsidR="0091321B" w:rsidRPr="008B7F94" w:rsidRDefault="0091321B" w:rsidP="0091321B">
      <w:pPr>
        <w:spacing w:after="120" w:line="360" w:lineRule="auto"/>
        <w:rPr>
          <w:lang w:val="en-US"/>
        </w:rPr>
      </w:pPr>
      <w:r w:rsidRPr="008B7F94">
        <w:rPr>
          <w:lang w:val="en-US"/>
        </w:rPr>
        <w:t>4</w:t>
      </w:r>
      <w:r w:rsidR="00635007" w:rsidRPr="008B7F94">
        <w:rPr>
          <w:lang w:val="en-US"/>
        </w:rPr>
        <w:t>8.</w:t>
      </w:r>
      <w:r w:rsidRPr="008B7F94">
        <w:rPr>
          <w:lang w:val="en-US"/>
        </w:rPr>
        <w:t xml:space="preserve"> </w:t>
      </w:r>
      <w:proofErr w:type="spellStart"/>
      <w:r w:rsidRPr="008B7F94">
        <w:rPr>
          <w:lang w:val="en-US"/>
        </w:rPr>
        <w:t>Schnetkamp</w:t>
      </w:r>
      <w:proofErr w:type="spellEnd"/>
      <w:r w:rsidRPr="008B7F94">
        <w:rPr>
          <w:lang w:val="en-US"/>
        </w:rPr>
        <w:t xml:space="preserve"> PP. Optical measurements of Na-Ca-K exchange currents in intact outer segments isolated from bovine retinal rods. </w:t>
      </w:r>
      <w:proofErr w:type="gramStart"/>
      <w:r w:rsidRPr="008B7F94">
        <w:rPr>
          <w:lang w:val="en-US"/>
        </w:rPr>
        <w:t xml:space="preserve">J Gen </w:t>
      </w:r>
      <w:proofErr w:type="spellStart"/>
      <w:r w:rsidRPr="008B7F94">
        <w:rPr>
          <w:lang w:val="en-US"/>
        </w:rPr>
        <w:t>Physiol</w:t>
      </w:r>
      <w:proofErr w:type="spellEnd"/>
      <w:r w:rsidRPr="008B7F94">
        <w:rPr>
          <w:lang w:val="en-US"/>
        </w:rPr>
        <w:t xml:space="preserve"> 1991; 98:555-73.</w:t>
      </w:r>
      <w:proofErr w:type="gramEnd"/>
      <w:r w:rsidRPr="008B7F94">
        <w:rPr>
          <w:lang w:val="en-US"/>
        </w:rPr>
        <w:t xml:space="preserve"> &lt;</w:t>
      </w:r>
      <w:r w:rsidRPr="008B7F94">
        <w:rPr>
          <w:rFonts w:eastAsia="Times New Roman"/>
          <w:lang w:val="en-US" w:eastAsia="ru-RU"/>
        </w:rPr>
        <w:t>PMID: 1722239&gt;</w:t>
      </w:r>
    </w:p>
    <w:p w:rsidR="00635007" w:rsidRPr="008B7F94" w:rsidRDefault="00635007" w:rsidP="000602E6">
      <w:pPr>
        <w:spacing w:after="120" w:line="360" w:lineRule="auto"/>
        <w:rPr>
          <w:rFonts w:eastAsia="Times New Roman"/>
          <w:lang w:val="en-US" w:eastAsia="ru-RU"/>
        </w:rPr>
      </w:pPr>
      <w:r w:rsidRPr="008B7F94">
        <w:rPr>
          <w:lang w:val="en-US"/>
        </w:rPr>
        <w:t>49.</w:t>
      </w:r>
      <w:r w:rsidR="000602E6" w:rsidRPr="008B7F94">
        <w:rPr>
          <w:lang w:val="en-US"/>
        </w:rPr>
        <w:t xml:space="preserve"> </w:t>
      </w:r>
      <w:proofErr w:type="spellStart"/>
      <w:r w:rsidR="000602E6" w:rsidRPr="008B7F94">
        <w:rPr>
          <w:lang w:val="en-US"/>
        </w:rPr>
        <w:t>Leskov</w:t>
      </w:r>
      <w:proofErr w:type="spellEnd"/>
      <w:r w:rsidR="000602E6" w:rsidRPr="008B7F94">
        <w:rPr>
          <w:lang w:val="en-US"/>
        </w:rPr>
        <w:t xml:space="preserve"> IB, </w:t>
      </w:r>
      <w:proofErr w:type="spellStart"/>
      <w:r w:rsidR="000602E6" w:rsidRPr="008B7F94">
        <w:rPr>
          <w:lang w:val="en-US"/>
        </w:rPr>
        <w:t>Klenchin</w:t>
      </w:r>
      <w:proofErr w:type="spellEnd"/>
      <w:r w:rsidR="000602E6" w:rsidRPr="008B7F94">
        <w:rPr>
          <w:lang w:val="en-US"/>
        </w:rPr>
        <w:t xml:space="preserve"> VA, Handy JW, Whitlock GG, </w:t>
      </w:r>
      <w:proofErr w:type="spellStart"/>
      <w:r w:rsidR="000602E6" w:rsidRPr="008B7F94">
        <w:rPr>
          <w:lang w:val="en-US"/>
        </w:rPr>
        <w:t>Govardovskii</w:t>
      </w:r>
      <w:proofErr w:type="spellEnd"/>
      <w:r w:rsidR="000602E6" w:rsidRPr="008B7F94">
        <w:rPr>
          <w:lang w:val="en-US"/>
        </w:rPr>
        <w:t xml:space="preserve"> VI, </w:t>
      </w:r>
      <w:proofErr w:type="spellStart"/>
      <w:r w:rsidR="000602E6" w:rsidRPr="008B7F94">
        <w:rPr>
          <w:lang w:val="en-US"/>
        </w:rPr>
        <w:t>Bownds</w:t>
      </w:r>
      <w:proofErr w:type="spellEnd"/>
      <w:r w:rsidR="000602E6" w:rsidRPr="008B7F94">
        <w:rPr>
          <w:lang w:val="en-US"/>
        </w:rPr>
        <w:t xml:space="preserve"> MD, Lamb TD, Pugh EN, Jr., </w:t>
      </w:r>
      <w:proofErr w:type="spellStart"/>
      <w:r w:rsidR="000602E6" w:rsidRPr="008B7F94">
        <w:rPr>
          <w:lang w:val="en-US"/>
        </w:rPr>
        <w:t>Arshavsky</w:t>
      </w:r>
      <w:proofErr w:type="spellEnd"/>
      <w:r w:rsidR="000602E6" w:rsidRPr="008B7F94">
        <w:rPr>
          <w:lang w:val="en-US"/>
        </w:rPr>
        <w:t xml:space="preserve"> VY. The gain of rod phototransduction: reconciliation of biochemical and electrophysiological measurements. Neuron 2000; 27:525-37. &lt; </w:t>
      </w:r>
      <w:r w:rsidR="000602E6" w:rsidRPr="008B7F94">
        <w:rPr>
          <w:rFonts w:eastAsia="Times New Roman"/>
          <w:lang w:val="en-US" w:eastAsia="ru-RU"/>
        </w:rPr>
        <w:t>PMID: 11055435&gt;</w:t>
      </w:r>
    </w:p>
    <w:p w:rsidR="000602E6" w:rsidRPr="008B7F94" w:rsidRDefault="000602E6" w:rsidP="000602E6">
      <w:pPr>
        <w:spacing w:after="120" w:line="360" w:lineRule="auto"/>
        <w:rPr>
          <w:lang w:val="en-US"/>
        </w:rPr>
      </w:pPr>
      <w:r w:rsidRPr="008B7F94">
        <w:rPr>
          <w:lang w:val="en-US"/>
        </w:rPr>
        <w:lastRenderedPageBreak/>
        <w:t>5</w:t>
      </w:r>
      <w:r w:rsidR="00635007" w:rsidRPr="008B7F94">
        <w:rPr>
          <w:lang w:val="en-US"/>
        </w:rPr>
        <w:t>0.</w:t>
      </w:r>
      <w:r w:rsidRPr="008B7F94">
        <w:rPr>
          <w:lang w:val="en-US"/>
        </w:rPr>
        <w:t xml:space="preserve"> </w:t>
      </w:r>
      <w:proofErr w:type="spellStart"/>
      <w:r w:rsidRPr="008B7F94">
        <w:rPr>
          <w:lang w:val="en-US"/>
        </w:rPr>
        <w:t>Muradov</w:t>
      </w:r>
      <w:proofErr w:type="spellEnd"/>
      <w:r w:rsidRPr="008B7F94">
        <w:rPr>
          <w:lang w:val="en-US"/>
        </w:rPr>
        <w:t xml:space="preserve"> H, Boyd KK, </w:t>
      </w:r>
      <w:proofErr w:type="spellStart"/>
      <w:r w:rsidRPr="008B7F94">
        <w:rPr>
          <w:lang w:val="en-US"/>
        </w:rPr>
        <w:t>Haeri</w:t>
      </w:r>
      <w:proofErr w:type="spellEnd"/>
      <w:r w:rsidRPr="008B7F94">
        <w:rPr>
          <w:lang w:val="en-US"/>
        </w:rPr>
        <w:t xml:space="preserve"> M, </w:t>
      </w:r>
      <w:proofErr w:type="spellStart"/>
      <w:r w:rsidRPr="008B7F94">
        <w:rPr>
          <w:lang w:val="en-US"/>
        </w:rPr>
        <w:t>Kerov</w:t>
      </w:r>
      <w:proofErr w:type="spellEnd"/>
      <w:r w:rsidRPr="008B7F94">
        <w:rPr>
          <w:lang w:val="en-US"/>
        </w:rPr>
        <w:t xml:space="preserve"> V, </w:t>
      </w:r>
      <w:proofErr w:type="gramStart"/>
      <w:r w:rsidRPr="008B7F94">
        <w:rPr>
          <w:lang w:val="en-US"/>
        </w:rPr>
        <w:t>Knox</w:t>
      </w:r>
      <w:proofErr w:type="gramEnd"/>
      <w:r w:rsidRPr="008B7F94">
        <w:rPr>
          <w:lang w:val="en-US"/>
        </w:rPr>
        <w:t xml:space="preserve"> BE, </w:t>
      </w:r>
      <w:proofErr w:type="spellStart"/>
      <w:r w:rsidRPr="008B7F94">
        <w:rPr>
          <w:lang w:val="en-US"/>
        </w:rPr>
        <w:t>Artemyev</w:t>
      </w:r>
      <w:proofErr w:type="spellEnd"/>
      <w:r w:rsidRPr="008B7F94">
        <w:rPr>
          <w:lang w:val="en-US"/>
        </w:rPr>
        <w:t xml:space="preserve"> NO. Characterization of human cone phosphodiesterase-6 ectopically expressed in </w:t>
      </w:r>
      <w:proofErr w:type="spellStart"/>
      <w:r w:rsidRPr="008B7F94">
        <w:rPr>
          <w:i/>
          <w:lang w:val="en-US"/>
        </w:rPr>
        <w:t>Xenopus</w:t>
      </w:r>
      <w:proofErr w:type="spellEnd"/>
      <w:r w:rsidRPr="008B7F94">
        <w:rPr>
          <w:i/>
          <w:lang w:val="en-US"/>
        </w:rPr>
        <w:t xml:space="preserve"> </w:t>
      </w:r>
      <w:proofErr w:type="spellStart"/>
      <w:r w:rsidRPr="008B7F94">
        <w:rPr>
          <w:i/>
          <w:lang w:val="en-US"/>
        </w:rPr>
        <w:t>laevis</w:t>
      </w:r>
      <w:proofErr w:type="spellEnd"/>
      <w:r w:rsidRPr="008B7F94">
        <w:rPr>
          <w:lang w:val="en-US"/>
        </w:rPr>
        <w:t xml:space="preserve"> rods. J </w:t>
      </w:r>
      <w:proofErr w:type="spellStart"/>
      <w:r w:rsidRPr="008B7F94">
        <w:rPr>
          <w:lang w:val="en-US"/>
        </w:rPr>
        <w:t>Biol</w:t>
      </w:r>
      <w:proofErr w:type="spellEnd"/>
      <w:r w:rsidRPr="008B7F94">
        <w:rPr>
          <w:lang w:val="en-US"/>
        </w:rPr>
        <w:t xml:space="preserve"> </w:t>
      </w:r>
      <w:proofErr w:type="spellStart"/>
      <w:r w:rsidRPr="008B7F94">
        <w:rPr>
          <w:lang w:val="en-US"/>
        </w:rPr>
        <w:t>Chem</w:t>
      </w:r>
      <w:proofErr w:type="spellEnd"/>
      <w:r w:rsidRPr="008B7F94">
        <w:rPr>
          <w:lang w:val="en-US"/>
        </w:rPr>
        <w:t xml:space="preserve"> 2009; 284:32662-9. &lt; </w:t>
      </w:r>
      <w:r w:rsidRPr="008B7F94">
        <w:rPr>
          <w:rFonts w:eastAsia="Times New Roman"/>
          <w:lang w:val="en-US" w:eastAsia="ru-RU"/>
        </w:rPr>
        <w:t>PMID: 19801642&gt;</w:t>
      </w:r>
    </w:p>
    <w:p w:rsidR="000602E6" w:rsidRPr="008B7F94" w:rsidRDefault="000602E6" w:rsidP="000602E6">
      <w:pPr>
        <w:spacing w:after="120" w:line="360" w:lineRule="auto"/>
        <w:rPr>
          <w:rFonts w:eastAsia="Times New Roman"/>
          <w:lang w:val="en-US" w:eastAsia="ru-RU"/>
        </w:rPr>
      </w:pPr>
      <w:r w:rsidRPr="008B7F94">
        <w:rPr>
          <w:lang w:val="en-US"/>
        </w:rPr>
        <w:t>5</w:t>
      </w:r>
      <w:r w:rsidR="00635007" w:rsidRPr="008B7F94">
        <w:rPr>
          <w:lang w:val="en-US"/>
        </w:rPr>
        <w:t xml:space="preserve">1. </w:t>
      </w:r>
      <w:proofErr w:type="spellStart"/>
      <w:r w:rsidRPr="008B7F94">
        <w:rPr>
          <w:lang w:val="en-US"/>
        </w:rPr>
        <w:t>Muradov</w:t>
      </w:r>
      <w:proofErr w:type="spellEnd"/>
      <w:r w:rsidRPr="008B7F94">
        <w:rPr>
          <w:lang w:val="en-US"/>
        </w:rPr>
        <w:t xml:space="preserve"> H, Boyd KK, </w:t>
      </w:r>
      <w:proofErr w:type="spellStart"/>
      <w:r w:rsidRPr="008B7F94">
        <w:rPr>
          <w:lang w:val="en-US"/>
        </w:rPr>
        <w:t>Artemyev</w:t>
      </w:r>
      <w:proofErr w:type="spellEnd"/>
      <w:r w:rsidRPr="008B7F94">
        <w:rPr>
          <w:lang w:val="en-US"/>
        </w:rPr>
        <w:t xml:space="preserve"> NO. Rod phosphodiesterase-6 PDE6A and PDE6B subunits are enzymatically equivalent. J </w:t>
      </w:r>
      <w:proofErr w:type="spellStart"/>
      <w:r w:rsidRPr="008B7F94">
        <w:rPr>
          <w:lang w:val="en-US"/>
        </w:rPr>
        <w:t>Biol</w:t>
      </w:r>
      <w:proofErr w:type="spellEnd"/>
      <w:r w:rsidRPr="008B7F94">
        <w:rPr>
          <w:lang w:val="en-US"/>
        </w:rPr>
        <w:t xml:space="preserve"> </w:t>
      </w:r>
      <w:proofErr w:type="spellStart"/>
      <w:r w:rsidRPr="008B7F94">
        <w:rPr>
          <w:lang w:val="en-US"/>
        </w:rPr>
        <w:t>Chem</w:t>
      </w:r>
      <w:proofErr w:type="spellEnd"/>
      <w:r w:rsidRPr="008B7F94">
        <w:rPr>
          <w:lang w:val="en-US"/>
        </w:rPr>
        <w:t xml:space="preserve"> 2010; 285:39828-34. &lt; </w:t>
      </w:r>
      <w:r w:rsidRPr="008B7F94">
        <w:rPr>
          <w:rFonts w:eastAsia="Times New Roman"/>
          <w:lang w:val="en-US" w:eastAsia="ru-RU"/>
        </w:rPr>
        <w:t>PMID: 20940301&gt;</w:t>
      </w:r>
    </w:p>
    <w:p w:rsidR="000602E6" w:rsidRPr="008B7F94" w:rsidRDefault="00993641" w:rsidP="000602E6">
      <w:pPr>
        <w:spacing w:after="120" w:line="360" w:lineRule="auto"/>
        <w:rPr>
          <w:rFonts w:eastAsia="Times New Roman"/>
          <w:lang w:val="en-US" w:eastAsia="ru-RU"/>
        </w:rPr>
      </w:pPr>
      <w:r w:rsidRPr="008B7F94">
        <w:rPr>
          <w:lang w:val="en-US"/>
        </w:rPr>
        <w:t>5</w:t>
      </w:r>
      <w:r w:rsidR="00635007" w:rsidRPr="008B7F94">
        <w:rPr>
          <w:lang w:val="en-US"/>
        </w:rPr>
        <w:t>2.</w:t>
      </w:r>
      <w:r w:rsidRPr="008B7F94">
        <w:rPr>
          <w:lang w:val="en-US"/>
        </w:rPr>
        <w:t xml:space="preserve"> </w:t>
      </w:r>
      <w:r w:rsidR="000602E6" w:rsidRPr="008B7F94">
        <w:rPr>
          <w:lang w:val="en-US"/>
        </w:rPr>
        <w:t xml:space="preserve">Gillespie PG, </w:t>
      </w:r>
      <w:proofErr w:type="spellStart"/>
      <w:r w:rsidR="000602E6" w:rsidRPr="008B7F94">
        <w:rPr>
          <w:lang w:val="en-US"/>
        </w:rPr>
        <w:t>Beavo</w:t>
      </w:r>
      <w:proofErr w:type="spellEnd"/>
      <w:r w:rsidR="000602E6" w:rsidRPr="008B7F94">
        <w:rPr>
          <w:lang w:val="en-US"/>
        </w:rPr>
        <w:t xml:space="preserve"> JA. </w:t>
      </w:r>
      <w:proofErr w:type="gramStart"/>
      <w:r w:rsidR="000602E6" w:rsidRPr="008B7F94">
        <w:rPr>
          <w:lang w:val="en-US"/>
        </w:rPr>
        <w:t>Characterization of a bovine cone photoreceptor phosphodiesterase purified by cyclic GMP-</w:t>
      </w:r>
      <w:proofErr w:type="spellStart"/>
      <w:r w:rsidR="000602E6" w:rsidRPr="008B7F94">
        <w:rPr>
          <w:lang w:val="en-US"/>
        </w:rPr>
        <w:t>sepharose</w:t>
      </w:r>
      <w:proofErr w:type="spellEnd"/>
      <w:r w:rsidR="000602E6" w:rsidRPr="008B7F94">
        <w:rPr>
          <w:lang w:val="en-US"/>
        </w:rPr>
        <w:t xml:space="preserve"> chromatography.</w:t>
      </w:r>
      <w:proofErr w:type="gramEnd"/>
      <w:r w:rsidR="000602E6" w:rsidRPr="008B7F94">
        <w:rPr>
          <w:lang w:val="en-US"/>
        </w:rPr>
        <w:t xml:space="preserve"> </w:t>
      </w:r>
      <w:proofErr w:type="gramStart"/>
      <w:r w:rsidR="000602E6" w:rsidRPr="008B7F94">
        <w:rPr>
          <w:lang w:val="en-US"/>
        </w:rPr>
        <w:t xml:space="preserve">J </w:t>
      </w:r>
      <w:proofErr w:type="spellStart"/>
      <w:r w:rsidR="000602E6" w:rsidRPr="008B7F94">
        <w:rPr>
          <w:lang w:val="en-US"/>
        </w:rPr>
        <w:t>Biol</w:t>
      </w:r>
      <w:proofErr w:type="spellEnd"/>
      <w:r w:rsidR="000602E6" w:rsidRPr="008B7F94">
        <w:rPr>
          <w:lang w:val="en-US"/>
        </w:rPr>
        <w:t xml:space="preserve"> </w:t>
      </w:r>
      <w:proofErr w:type="spellStart"/>
      <w:r w:rsidR="000602E6" w:rsidRPr="008B7F94">
        <w:rPr>
          <w:lang w:val="en-US"/>
        </w:rPr>
        <w:t>Chem</w:t>
      </w:r>
      <w:proofErr w:type="spellEnd"/>
      <w:r w:rsidR="000602E6" w:rsidRPr="008B7F94">
        <w:rPr>
          <w:lang w:val="en-US"/>
        </w:rPr>
        <w:t xml:space="preserve"> 1988; 263:8133-41.</w:t>
      </w:r>
      <w:proofErr w:type="gramEnd"/>
      <w:r w:rsidR="000602E6" w:rsidRPr="008B7F94">
        <w:rPr>
          <w:lang w:val="en-US"/>
        </w:rPr>
        <w:t xml:space="preserve"> &lt; </w:t>
      </w:r>
      <w:r w:rsidR="000602E6" w:rsidRPr="008B7F94">
        <w:rPr>
          <w:rFonts w:eastAsia="Times New Roman"/>
          <w:lang w:val="en-US" w:eastAsia="ru-RU"/>
        </w:rPr>
        <w:t>PMID: 2836413&gt;</w:t>
      </w:r>
    </w:p>
    <w:p w:rsidR="00993641" w:rsidRPr="008B7F94" w:rsidRDefault="00993641" w:rsidP="00993641">
      <w:pPr>
        <w:spacing w:after="120" w:line="360" w:lineRule="auto"/>
        <w:rPr>
          <w:lang w:val="en-US"/>
        </w:rPr>
      </w:pPr>
      <w:r w:rsidRPr="008B7F94">
        <w:rPr>
          <w:lang w:val="en-US"/>
        </w:rPr>
        <w:t>5</w:t>
      </w:r>
      <w:r w:rsidR="00635007" w:rsidRPr="008B7F94">
        <w:rPr>
          <w:lang w:val="en-US"/>
        </w:rPr>
        <w:t>3.</w:t>
      </w:r>
      <w:r w:rsidRPr="008B7F94">
        <w:rPr>
          <w:lang w:val="en-US"/>
        </w:rPr>
        <w:t xml:space="preserve"> Huang D, Hinds TR, Martinez SE, </w:t>
      </w:r>
      <w:proofErr w:type="spellStart"/>
      <w:r w:rsidRPr="008B7F94">
        <w:rPr>
          <w:lang w:val="en-US"/>
        </w:rPr>
        <w:t>Doneanu</w:t>
      </w:r>
      <w:proofErr w:type="spellEnd"/>
      <w:r w:rsidRPr="008B7F94">
        <w:rPr>
          <w:lang w:val="en-US"/>
        </w:rPr>
        <w:t xml:space="preserve"> C, </w:t>
      </w:r>
      <w:proofErr w:type="spellStart"/>
      <w:r w:rsidRPr="008B7F94">
        <w:rPr>
          <w:lang w:val="en-US"/>
        </w:rPr>
        <w:t>Beavo</w:t>
      </w:r>
      <w:proofErr w:type="spellEnd"/>
      <w:r w:rsidRPr="008B7F94">
        <w:rPr>
          <w:lang w:val="en-US"/>
        </w:rPr>
        <w:t xml:space="preserve"> JA. Molecular determinants of cGMP binding to chicken cone photoreceptor phosphodiesterase. J </w:t>
      </w:r>
      <w:proofErr w:type="spellStart"/>
      <w:r w:rsidRPr="008B7F94">
        <w:rPr>
          <w:lang w:val="en-US"/>
        </w:rPr>
        <w:t>Biol</w:t>
      </w:r>
      <w:proofErr w:type="spellEnd"/>
      <w:r w:rsidRPr="008B7F94">
        <w:rPr>
          <w:lang w:val="en-US"/>
        </w:rPr>
        <w:t xml:space="preserve"> </w:t>
      </w:r>
      <w:proofErr w:type="spellStart"/>
      <w:r w:rsidRPr="008B7F94">
        <w:rPr>
          <w:lang w:val="en-US"/>
        </w:rPr>
        <w:t>Chem</w:t>
      </w:r>
      <w:proofErr w:type="spellEnd"/>
      <w:r w:rsidRPr="008B7F94">
        <w:rPr>
          <w:lang w:val="en-US"/>
        </w:rPr>
        <w:t xml:space="preserve"> 2004; 279:48143-51. &lt;</w:t>
      </w:r>
      <w:r w:rsidRPr="008B7F94">
        <w:rPr>
          <w:rFonts w:eastAsia="Times New Roman"/>
          <w:lang w:val="en-US" w:eastAsia="ru-RU"/>
        </w:rPr>
        <w:t>PMID: 15331594&gt;</w:t>
      </w:r>
    </w:p>
    <w:p w:rsidR="00993641" w:rsidRPr="008B7F94" w:rsidRDefault="00993641" w:rsidP="00993641">
      <w:pPr>
        <w:spacing w:after="120" w:line="360" w:lineRule="auto"/>
        <w:rPr>
          <w:rFonts w:eastAsia="Times New Roman"/>
          <w:lang w:val="en-US" w:eastAsia="ru-RU"/>
        </w:rPr>
      </w:pPr>
      <w:r w:rsidRPr="008B7F94">
        <w:rPr>
          <w:lang w:val="en-US"/>
        </w:rPr>
        <w:t>5</w:t>
      </w:r>
      <w:r w:rsidR="00635007" w:rsidRPr="008B7F94">
        <w:rPr>
          <w:lang w:val="en-US"/>
        </w:rPr>
        <w:t>4.</w:t>
      </w:r>
      <w:r w:rsidRPr="008B7F94">
        <w:rPr>
          <w:lang w:val="en-US"/>
        </w:rPr>
        <w:t xml:space="preserve"> Imai H, Kojima D, </w:t>
      </w:r>
      <w:proofErr w:type="spellStart"/>
      <w:r w:rsidRPr="008B7F94">
        <w:rPr>
          <w:lang w:val="en-US"/>
        </w:rPr>
        <w:t>Oura</w:t>
      </w:r>
      <w:proofErr w:type="spellEnd"/>
      <w:r w:rsidRPr="008B7F94">
        <w:rPr>
          <w:lang w:val="en-US"/>
        </w:rPr>
        <w:t xml:space="preserve"> T, </w:t>
      </w:r>
      <w:proofErr w:type="spellStart"/>
      <w:r w:rsidRPr="008B7F94">
        <w:rPr>
          <w:lang w:val="en-US"/>
        </w:rPr>
        <w:t>Tachibanaki</w:t>
      </w:r>
      <w:proofErr w:type="spellEnd"/>
      <w:r w:rsidRPr="008B7F94">
        <w:rPr>
          <w:lang w:val="en-US"/>
        </w:rPr>
        <w:t xml:space="preserve"> S, </w:t>
      </w:r>
      <w:proofErr w:type="spellStart"/>
      <w:r w:rsidRPr="008B7F94">
        <w:rPr>
          <w:lang w:val="en-US"/>
        </w:rPr>
        <w:t>Terakita</w:t>
      </w:r>
      <w:proofErr w:type="spellEnd"/>
      <w:r w:rsidRPr="008B7F94">
        <w:rPr>
          <w:lang w:val="en-US"/>
        </w:rPr>
        <w:t xml:space="preserve"> A, </w:t>
      </w:r>
      <w:proofErr w:type="spellStart"/>
      <w:r w:rsidRPr="008B7F94">
        <w:rPr>
          <w:lang w:val="en-US"/>
        </w:rPr>
        <w:t>Shichida</w:t>
      </w:r>
      <w:proofErr w:type="spellEnd"/>
      <w:r w:rsidRPr="008B7F94">
        <w:rPr>
          <w:lang w:val="en-US"/>
        </w:rPr>
        <w:t xml:space="preserve"> Y. Single amino acid residue as a functional determinant of rod and cone visual pigments. </w:t>
      </w:r>
      <w:proofErr w:type="gramStart"/>
      <w:r w:rsidRPr="008B7F94">
        <w:rPr>
          <w:lang w:val="en-US"/>
        </w:rPr>
        <w:t xml:space="preserve">Proc </w:t>
      </w:r>
      <w:proofErr w:type="spellStart"/>
      <w:r w:rsidRPr="008B7F94">
        <w:rPr>
          <w:lang w:val="en-US"/>
        </w:rPr>
        <w:t>Natl</w:t>
      </w:r>
      <w:proofErr w:type="spellEnd"/>
      <w:r w:rsidRPr="008B7F94">
        <w:rPr>
          <w:lang w:val="en-US"/>
        </w:rPr>
        <w:t xml:space="preserve"> </w:t>
      </w:r>
      <w:proofErr w:type="spellStart"/>
      <w:r w:rsidRPr="008B7F94">
        <w:rPr>
          <w:lang w:val="en-US"/>
        </w:rPr>
        <w:t>Acad</w:t>
      </w:r>
      <w:proofErr w:type="spellEnd"/>
      <w:r w:rsidRPr="008B7F94">
        <w:rPr>
          <w:lang w:val="en-US"/>
        </w:rPr>
        <w:t xml:space="preserve"> </w:t>
      </w:r>
      <w:proofErr w:type="spellStart"/>
      <w:r w:rsidRPr="008B7F94">
        <w:rPr>
          <w:lang w:val="en-US"/>
        </w:rPr>
        <w:t>Sci</w:t>
      </w:r>
      <w:proofErr w:type="spellEnd"/>
      <w:r w:rsidRPr="008B7F94">
        <w:rPr>
          <w:lang w:val="en-US"/>
        </w:rPr>
        <w:t xml:space="preserve"> USA 1997; 94:2322-6.</w:t>
      </w:r>
      <w:proofErr w:type="gramEnd"/>
      <w:r w:rsidRPr="008B7F94">
        <w:rPr>
          <w:lang w:val="en-US"/>
        </w:rPr>
        <w:t xml:space="preserve"> &lt; </w:t>
      </w:r>
      <w:r w:rsidRPr="008B7F94">
        <w:rPr>
          <w:rFonts w:eastAsia="Times New Roman"/>
          <w:lang w:val="en-US" w:eastAsia="ru-RU"/>
        </w:rPr>
        <w:t>PMID: 9122193&gt;</w:t>
      </w:r>
    </w:p>
    <w:p w:rsidR="00993641" w:rsidRPr="008B7F94" w:rsidRDefault="00993641" w:rsidP="00993641">
      <w:pPr>
        <w:spacing w:after="120" w:line="360" w:lineRule="auto"/>
        <w:rPr>
          <w:lang w:val="en-US"/>
        </w:rPr>
      </w:pPr>
      <w:r w:rsidRPr="008B7F94">
        <w:rPr>
          <w:lang w:val="en-US"/>
        </w:rPr>
        <w:t>5</w:t>
      </w:r>
      <w:r w:rsidR="00635007" w:rsidRPr="008B7F94">
        <w:rPr>
          <w:lang w:val="en-US"/>
        </w:rPr>
        <w:t>5.</w:t>
      </w:r>
      <w:r w:rsidRPr="008B7F94">
        <w:rPr>
          <w:lang w:val="en-US"/>
        </w:rPr>
        <w:t xml:space="preserve"> </w:t>
      </w:r>
      <w:proofErr w:type="spellStart"/>
      <w:r w:rsidRPr="008B7F94">
        <w:rPr>
          <w:lang w:val="en-US"/>
        </w:rPr>
        <w:t>Klenchin</w:t>
      </w:r>
      <w:proofErr w:type="spellEnd"/>
      <w:r w:rsidRPr="008B7F94">
        <w:rPr>
          <w:lang w:val="en-US"/>
        </w:rPr>
        <w:t xml:space="preserve"> VA, Calvert PD, </w:t>
      </w:r>
      <w:proofErr w:type="spellStart"/>
      <w:r w:rsidRPr="008B7F94">
        <w:rPr>
          <w:lang w:val="en-US"/>
        </w:rPr>
        <w:t>Bownds</w:t>
      </w:r>
      <w:proofErr w:type="spellEnd"/>
      <w:r w:rsidRPr="008B7F94">
        <w:rPr>
          <w:lang w:val="en-US"/>
        </w:rPr>
        <w:t xml:space="preserve"> MD. </w:t>
      </w:r>
      <w:proofErr w:type="gramStart"/>
      <w:r w:rsidRPr="008B7F94">
        <w:rPr>
          <w:lang w:val="en-US"/>
        </w:rPr>
        <w:t>Inhibition of rhodopsin kinase by recoverin.</w:t>
      </w:r>
      <w:proofErr w:type="gramEnd"/>
      <w:r w:rsidRPr="008B7F94">
        <w:rPr>
          <w:lang w:val="en-US"/>
        </w:rPr>
        <w:t xml:space="preserve"> </w:t>
      </w:r>
      <w:proofErr w:type="gramStart"/>
      <w:r w:rsidRPr="008B7F94">
        <w:rPr>
          <w:lang w:val="en-US"/>
        </w:rPr>
        <w:t>Further evidence for a negative feedback system in phototransduction.</w:t>
      </w:r>
      <w:proofErr w:type="gramEnd"/>
      <w:r w:rsidRPr="008B7F94">
        <w:rPr>
          <w:lang w:val="en-US"/>
        </w:rPr>
        <w:t xml:space="preserve"> </w:t>
      </w:r>
      <w:proofErr w:type="gramStart"/>
      <w:r w:rsidRPr="008B7F94">
        <w:rPr>
          <w:lang w:val="en-US"/>
        </w:rPr>
        <w:t xml:space="preserve">J </w:t>
      </w:r>
      <w:proofErr w:type="spellStart"/>
      <w:r w:rsidRPr="008B7F94">
        <w:rPr>
          <w:lang w:val="en-US"/>
        </w:rPr>
        <w:t>Biol</w:t>
      </w:r>
      <w:proofErr w:type="spellEnd"/>
      <w:r w:rsidRPr="008B7F94">
        <w:rPr>
          <w:lang w:val="en-US"/>
        </w:rPr>
        <w:t xml:space="preserve"> </w:t>
      </w:r>
      <w:proofErr w:type="spellStart"/>
      <w:r w:rsidRPr="008B7F94">
        <w:rPr>
          <w:lang w:val="en-US"/>
        </w:rPr>
        <w:t>Chem</w:t>
      </w:r>
      <w:proofErr w:type="spellEnd"/>
      <w:r w:rsidRPr="008B7F94">
        <w:rPr>
          <w:lang w:val="en-US"/>
        </w:rPr>
        <w:t xml:space="preserve"> 1995; 270:16147-52.</w:t>
      </w:r>
      <w:proofErr w:type="gramEnd"/>
      <w:r w:rsidRPr="008B7F94">
        <w:rPr>
          <w:lang w:val="en-US"/>
        </w:rPr>
        <w:t xml:space="preserve"> &lt; </w:t>
      </w:r>
      <w:r w:rsidRPr="008B7F94">
        <w:rPr>
          <w:rFonts w:eastAsia="Times New Roman"/>
          <w:lang w:val="en-US" w:eastAsia="ru-RU"/>
        </w:rPr>
        <w:t>PMID: 7608179&gt;</w:t>
      </w:r>
    </w:p>
    <w:p w:rsidR="00993641" w:rsidRPr="008B7F94" w:rsidRDefault="006B18AE" w:rsidP="00993641">
      <w:pPr>
        <w:spacing w:after="120" w:line="360" w:lineRule="auto"/>
        <w:rPr>
          <w:rFonts w:eastAsia="Times New Roman"/>
          <w:lang w:val="en-US" w:eastAsia="ru-RU"/>
        </w:rPr>
      </w:pPr>
      <w:r w:rsidRPr="008B7F94">
        <w:rPr>
          <w:lang w:val="en-US"/>
        </w:rPr>
        <w:t>5</w:t>
      </w:r>
      <w:r w:rsidR="00635007" w:rsidRPr="008B7F94">
        <w:rPr>
          <w:lang w:val="en-US"/>
        </w:rPr>
        <w:t xml:space="preserve">6. </w:t>
      </w:r>
      <w:proofErr w:type="spellStart"/>
      <w:r w:rsidRPr="008B7F94">
        <w:rPr>
          <w:lang w:val="en-US"/>
        </w:rPr>
        <w:t>Astakhova</w:t>
      </w:r>
      <w:proofErr w:type="spellEnd"/>
      <w:r w:rsidRPr="008B7F94">
        <w:rPr>
          <w:lang w:val="en-US"/>
        </w:rPr>
        <w:t xml:space="preserve"> LA, </w:t>
      </w:r>
      <w:proofErr w:type="spellStart"/>
      <w:r w:rsidRPr="008B7F94">
        <w:rPr>
          <w:lang w:val="en-US"/>
        </w:rPr>
        <w:t>Samoiliuk</w:t>
      </w:r>
      <w:proofErr w:type="spellEnd"/>
      <w:r w:rsidRPr="008B7F94">
        <w:rPr>
          <w:lang w:val="en-US"/>
        </w:rPr>
        <w:t xml:space="preserve"> EV, </w:t>
      </w:r>
      <w:proofErr w:type="spellStart"/>
      <w:r w:rsidRPr="008B7F94">
        <w:rPr>
          <w:lang w:val="en-US"/>
        </w:rPr>
        <w:t>Govardovskii</w:t>
      </w:r>
      <w:proofErr w:type="spellEnd"/>
      <w:r w:rsidRPr="008B7F94">
        <w:rPr>
          <w:lang w:val="en-US"/>
        </w:rPr>
        <w:t xml:space="preserve"> VI, </w:t>
      </w:r>
      <w:proofErr w:type="spellStart"/>
      <w:r w:rsidRPr="008B7F94">
        <w:rPr>
          <w:lang w:val="en-US"/>
        </w:rPr>
        <w:t>Firsov</w:t>
      </w:r>
      <w:proofErr w:type="spellEnd"/>
      <w:r w:rsidRPr="008B7F94">
        <w:rPr>
          <w:lang w:val="en-US"/>
        </w:rPr>
        <w:t xml:space="preserve"> ML. cAMP controls rod photoreceptor sensitivity via multiple targets in the phototransduction cascade. J Gen </w:t>
      </w:r>
      <w:proofErr w:type="spellStart"/>
      <w:r w:rsidRPr="008B7F94">
        <w:rPr>
          <w:lang w:val="en-US"/>
        </w:rPr>
        <w:t>Physiol</w:t>
      </w:r>
      <w:proofErr w:type="spellEnd"/>
      <w:r w:rsidRPr="008B7F94">
        <w:rPr>
          <w:lang w:val="en-US"/>
        </w:rPr>
        <w:t xml:space="preserve"> 2012; 140:421-33. &lt; </w:t>
      </w:r>
      <w:r w:rsidRPr="008B7F94">
        <w:rPr>
          <w:rFonts w:eastAsia="Times New Roman"/>
          <w:lang w:val="en-US" w:eastAsia="ru-RU"/>
        </w:rPr>
        <w:t>PMID: 23008435&gt;</w:t>
      </w:r>
    </w:p>
    <w:p w:rsidR="006B18AE" w:rsidRPr="008B7F94" w:rsidRDefault="00C05F72" w:rsidP="006B18AE">
      <w:pPr>
        <w:spacing w:after="120" w:line="360" w:lineRule="auto"/>
        <w:rPr>
          <w:lang w:val="en-US"/>
        </w:rPr>
      </w:pPr>
      <w:r w:rsidRPr="008B7F94">
        <w:rPr>
          <w:lang w:val="en-US"/>
        </w:rPr>
        <w:t>5</w:t>
      </w:r>
      <w:r w:rsidR="00635007" w:rsidRPr="008B7F94">
        <w:rPr>
          <w:lang w:val="en-US"/>
        </w:rPr>
        <w:t>7.</w:t>
      </w:r>
      <w:r w:rsidRPr="008B7F94">
        <w:rPr>
          <w:lang w:val="en-US"/>
        </w:rPr>
        <w:t xml:space="preserve"> </w:t>
      </w:r>
      <w:proofErr w:type="spellStart"/>
      <w:r w:rsidR="006B18AE" w:rsidRPr="008B7F94">
        <w:rPr>
          <w:lang w:val="en-US"/>
        </w:rPr>
        <w:t>Cobbs</w:t>
      </w:r>
      <w:proofErr w:type="spellEnd"/>
      <w:r w:rsidR="006B18AE" w:rsidRPr="008B7F94">
        <w:rPr>
          <w:lang w:val="en-US"/>
        </w:rPr>
        <w:t xml:space="preserve"> WH, Pugh EN, Jr. Kinetics and components of the flash photocurrent of isolated retinal rods of the larval salamander, </w:t>
      </w:r>
      <w:proofErr w:type="spellStart"/>
      <w:r w:rsidR="006B18AE" w:rsidRPr="008B7F94">
        <w:rPr>
          <w:i/>
          <w:lang w:val="en-US"/>
        </w:rPr>
        <w:t>Ambystoma</w:t>
      </w:r>
      <w:proofErr w:type="spellEnd"/>
      <w:r w:rsidR="006B18AE" w:rsidRPr="008B7F94">
        <w:rPr>
          <w:i/>
          <w:lang w:val="en-US"/>
        </w:rPr>
        <w:t xml:space="preserve"> </w:t>
      </w:r>
      <w:proofErr w:type="spellStart"/>
      <w:r w:rsidR="006B18AE" w:rsidRPr="008B7F94">
        <w:rPr>
          <w:i/>
          <w:lang w:val="en-US"/>
        </w:rPr>
        <w:t>tigrinum</w:t>
      </w:r>
      <w:proofErr w:type="spellEnd"/>
      <w:r w:rsidR="006B18AE" w:rsidRPr="008B7F94">
        <w:rPr>
          <w:lang w:val="en-US"/>
        </w:rPr>
        <w:t xml:space="preserve">. </w:t>
      </w:r>
      <w:proofErr w:type="gramStart"/>
      <w:r w:rsidR="006B18AE" w:rsidRPr="008B7F94">
        <w:rPr>
          <w:lang w:val="en-US"/>
        </w:rPr>
        <w:t xml:space="preserve">J </w:t>
      </w:r>
      <w:proofErr w:type="spellStart"/>
      <w:r w:rsidR="006B18AE" w:rsidRPr="008B7F94">
        <w:rPr>
          <w:lang w:val="en-US"/>
        </w:rPr>
        <w:t>Physiol</w:t>
      </w:r>
      <w:proofErr w:type="spellEnd"/>
      <w:r w:rsidR="006B18AE" w:rsidRPr="008B7F94">
        <w:rPr>
          <w:lang w:val="en-US"/>
        </w:rPr>
        <w:t xml:space="preserve"> 1987; 394:529-72.</w:t>
      </w:r>
      <w:proofErr w:type="gramEnd"/>
      <w:r w:rsidR="006B18AE" w:rsidRPr="008B7F94">
        <w:rPr>
          <w:lang w:val="en-US"/>
        </w:rPr>
        <w:t xml:space="preserve"> &lt; </w:t>
      </w:r>
      <w:r w:rsidR="006B18AE" w:rsidRPr="008B7F94">
        <w:rPr>
          <w:rFonts w:eastAsia="Times New Roman"/>
          <w:lang w:val="en-US" w:eastAsia="ru-RU"/>
        </w:rPr>
        <w:t>PMID: 2832596&gt;</w:t>
      </w:r>
    </w:p>
    <w:p w:rsidR="006B18AE" w:rsidRPr="008B7F94" w:rsidRDefault="00C05F72" w:rsidP="006B18AE">
      <w:pPr>
        <w:spacing w:after="120" w:line="360" w:lineRule="auto"/>
        <w:rPr>
          <w:rFonts w:eastAsia="Times New Roman"/>
          <w:lang w:val="en-US" w:eastAsia="ru-RU"/>
        </w:rPr>
      </w:pPr>
      <w:r w:rsidRPr="008B7F94">
        <w:rPr>
          <w:lang w:val="en-US"/>
        </w:rPr>
        <w:t>5</w:t>
      </w:r>
      <w:r w:rsidR="00635007" w:rsidRPr="008B7F94">
        <w:rPr>
          <w:lang w:val="en-US"/>
        </w:rPr>
        <w:t>8.</w:t>
      </w:r>
      <w:r w:rsidRPr="008B7F94">
        <w:rPr>
          <w:lang w:val="en-US"/>
        </w:rPr>
        <w:t xml:space="preserve"> </w:t>
      </w:r>
      <w:proofErr w:type="spellStart"/>
      <w:r w:rsidR="006B18AE" w:rsidRPr="008B7F94">
        <w:rPr>
          <w:lang w:val="en-US"/>
        </w:rPr>
        <w:t>Lagnado</w:t>
      </w:r>
      <w:proofErr w:type="spellEnd"/>
      <w:r w:rsidR="006B18AE" w:rsidRPr="008B7F94">
        <w:rPr>
          <w:lang w:val="en-US"/>
        </w:rPr>
        <w:t xml:space="preserve"> L, McNaughton PA. </w:t>
      </w:r>
      <w:proofErr w:type="gramStart"/>
      <w:r w:rsidR="006B18AE" w:rsidRPr="008B7F94">
        <w:rPr>
          <w:lang w:val="en-US"/>
        </w:rPr>
        <w:t>Net charge transport during sodium-dependent calcium extrusion in isolated salamander rod outer segments.</w:t>
      </w:r>
      <w:proofErr w:type="gramEnd"/>
      <w:r w:rsidR="006B18AE" w:rsidRPr="008B7F94">
        <w:rPr>
          <w:lang w:val="en-US"/>
        </w:rPr>
        <w:t xml:space="preserve"> </w:t>
      </w:r>
      <w:proofErr w:type="gramStart"/>
      <w:r w:rsidR="006B18AE" w:rsidRPr="008B7F94">
        <w:rPr>
          <w:lang w:val="en-US"/>
        </w:rPr>
        <w:t xml:space="preserve">J Gen </w:t>
      </w:r>
      <w:proofErr w:type="spellStart"/>
      <w:r w:rsidR="006B18AE" w:rsidRPr="008B7F94">
        <w:rPr>
          <w:lang w:val="en-US"/>
        </w:rPr>
        <w:t>Physiol</w:t>
      </w:r>
      <w:proofErr w:type="spellEnd"/>
      <w:r w:rsidR="006B18AE" w:rsidRPr="008B7F94">
        <w:rPr>
          <w:lang w:val="en-US"/>
        </w:rPr>
        <w:t xml:space="preserve"> 1991; 98:479-95.</w:t>
      </w:r>
      <w:proofErr w:type="gramEnd"/>
      <w:r w:rsidR="006B18AE" w:rsidRPr="008B7F94">
        <w:rPr>
          <w:lang w:val="en-US"/>
        </w:rPr>
        <w:t xml:space="preserve"> &lt; </w:t>
      </w:r>
      <w:r w:rsidR="006B18AE" w:rsidRPr="008B7F94">
        <w:rPr>
          <w:rFonts w:eastAsia="Times New Roman"/>
          <w:lang w:val="en-US" w:eastAsia="ru-RU"/>
        </w:rPr>
        <w:t>PMID: 1722238&gt;</w:t>
      </w:r>
    </w:p>
    <w:p w:rsidR="006B18AE" w:rsidRPr="008B7F94" w:rsidRDefault="00635007" w:rsidP="006B18AE">
      <w:pPr>
        <w:spacing w:after="120" w:line="360" w:lineRule="auto"/>
        <w:rPr>
          <w:rFonts w:eastAsia="Times New Roman"/>
          <w:lang w:val="en-US" w:eastAsia="ru-RU"/>
        </w:rPr>
      </w:pPr>
      <w:r w:rsidRPr="008B7F94">
        <w:rPr>
          <w:lang w:val="en-US"/>
        </w:rPr>
        <w:t>59.</w:t>
      </w:r>
      <w:r w:rsidR="006B18AE" w:rsidRPr="008B7F94">
        <w:rPr>
          <w:lang w:val="en-US"/>
        </w:rPr>
        <w:t xml:space="preserve"> </w:t>
      </w:r>
      <w:proofErr w:type="spellStart"/>
      <w:r w:rsidR="006B18AE" w:rsidRPr="008B7F94">
        <w:rPr>
          <w:lang w:val="en-US"/>
        </w:rPr>
        <w:t>Ohyama</w:t>
      </w:r>
      <w:proofErr w:type="spellEnd"/>
      <w:r w:rsidR="006B18AE" w:rsidRPr="008B7F94">
        <w:rPr>
          <w:lang w:val="en-US"/>
        </w:rPr>
        <w:t xml:space="preserve"> T, </w:t>
      </w:r>
      <w:proofErr w:type="spellStart"/>
      <w:r w:rsidR="006B18AE" w:rsidRPr="008B7F94">
        <w:rPr>
          <w:lang w:val="en-US"/>
        </w:rPr>
        <w:t>Hackos</w:t>
      </w:r>
      <w:proofErr w:type="spellEnd"/>
      <w:r w:rsidR="006B18AE" w:rsidRPr="008B7F94">
        <w:rPr>
          <w:lang w:val="en-US"/>
        </w:rPr>
        <w:t xml:space="preserve"> DH, </w:t>
      </w:r>
      <w:proofErr w:type="spellStart"/>
      <w:r w:rsidR="006B18AE" w:rsidRPr="008B7F94">
        <w:rPr>
          <w:lang w:val="en-US"/>
        </w:rPr>
        <w:t>Frings</w:t>
      </w:r>
      <w:proofErr w:type="spellEnd"/>
      <w:r w:rsidR="006B18AE" w:rsidRPr="008B7F94">
        <w:rPr>
          <w:lang w:val="en-US"/>
        </w:rPr>
        <w:t xml:space="preserve"> S, Hagen V, </w:t>
      </w:r>
      <w:proofErr w:type="spellStart"/>
      <w:r w:rsidR="006B18AE" w:rsidRPr="008B7F94">
        <w:rPr>
          <w:lang w:val="en-US"/>
        </w:rPr>
        <w:t>Kaupp</w:t>
      </w:r>
      <w:proofErr w:type="spellEnd"/>
      <w:r w:rsidR="006B18AE" w:rsidRPr="008B7F94">
        <w:rPr>
          <w:lang w:val="en-US"/>
        </w:rPr>
        <w:t xml:space="preserve"> UB, </w:t>
      </w:r>
      <w:proofErr w:type="spellStart"/>
      <w:r w:rsidR="006B18AE" w:rsidRPr="008B7F94">
        <w:rPr>
          <w:lang w:val="en-US"/>
        </w:rPr>
        <w:t>Korenbrot</w:t>
      </w:r>
      <w:proofErr w:type="spellEnd"/>
      <w:r w:rsidR="006B18AE" w:rsidRPr="008B7F94">
        <w:rPr>
          <w:lang w:val="en-US"/>
        </w:rPr>
        <w:t xml:space="preserve"> JI. Fraction of the dark current carried by Ca</w:t>
      </w:r>
      <w:r w:rsidR="006B18AE" w:rsidRPr="008B7F94">
        <w:rPr>
          <w:vertAlign w:val="superscript"/>
          <w:lang w:val="en-US"/>
        </w:rPr>
        <w:t>2+</w:t>
      </w:r>
      <w:r w:rsidR="006B18AE" w:rsidRPr="008B7F94">
        <w:rPr>
          <w:lang w:val="en-US"/>
        </w:rPr>
        <w:t xml:space="preserve"> through cGMP-gated ion channels of intact rod and cone </w:t>
      </w:r>
      <w:r w:rsidR="006B18AE" w:rsidRPr="008B7F94">
        <w:rPr>
          <w:lang w:val="en-US"/>
        </w:rPr>
        <w:tab/>
        <w:t xml:space="preserve">photoreceptors. J Gen </w:t>
      </w:r>
      <w:proofErr w:type="spellStart"/>
      <w:r w:rsidR="006B18AE" w:rsidRPr="008B7F94">
        <w:rPr>
          <w:lang w:val="en-US"/>
        </w:rPr>
        <w:t>Physiol</w:t>
      </w:r>
      <w:proofErr w:type="spellEnd"/>
      <w:r w:rsidR="006B18AE" w:rsidRPr="008B7F94">
        <w:rPr>
          <w:lang w:val="en-US"/>
        </w:rPr>
        <w:t xml:space="preserve"> 2000; 116:735-54. &lt; </w:t>
      </w:r>
      <w:r w:rsidR="006B18AE" w:rsidRPr="008B7F94">
        <w:rPr>
          <w:rFonts w:eastAsia="Times New Roman"/>
          <w:lang w:val="en-US" w:eastAsia="ru-RU"/>
        </w:rPr>
        <w:t>PMID: 11099344&gt;</w:t>
      </w:r>
    </w:p>
    <w:p w:rsidR="00C05F72" w:rsidRPr="008B7F94" w:rsidRDefault="00C05F72" w:rsidP="00C05F72">
      <w:pPr>
        <w:spacing w:after="120" w:line="360" w:lineRule="auto"/>
        <w:rPr>
          <w:lang w:val="en-US"/>
        </w:rPr>
      </w:pPr>
      <w:r w:rsidRPr="008B7F94">
        <w:rPr>
          <w:lang w:val="en-US"/>
        </w:rPr>
        <w:t>6</w:t>
      </w:r>
      <w:r w:rsidR="00635007" w:rsidRPr="008B7F94">
        <w:rPr>
          <w:lang w:val="en-US"/>
        </w:rPr>
        <w:t>0.</w:t>
      </w:r>
      <w:r w:rsidRPr="008B7F94">
        <w:rPr>
          <w:lang w:val="en-US"/>
        </w:rPr>
        <w:t xml:space="preserve"> Haynes LW. Permeation and block by internal and external divalent </w:t>
      </w:r>
      <w:proofErr w:type="spellStart"/>
      <w:r w:rsidRPr="008B7F94">
        <w:rPr>
          <w:lang w:val="en-US"/>
        </w:rPr>
        <w:t>cations</w:t>
      </w:r>
      <w:proofErr w:type="spellEnd"/>
      <w:r w:rsidRPr="008B7F94">
        <w:rPr>
          <w:lang w:val="en-US"/>
        </w:rPr>
        <w:t xml:space="preserve"> of the catfish cone photoreceptor cGMP-gated channel. </w:t>
      </w:r>
      <w:proofErr w:type="gramStart"/>
      <w:r w:rsidRPr="008B7F94">
        <w:rPr>
          <w:lang w:val="en-US"/>
        </w:rPr>
        <w:t xml:space="preserve">J Gen </w:t>
      </w:r>
      <w:proofErr w:type="spellStart"/>
      <w:r w:rsidRPr="008B7F94">
        <w:rPr>
          <w:lang w:val="en-US"/>
        </w:rPr>
        <w:t>Physiol</w:t>
      </w:r>
      <w:proofErr w:type="spellEnd"/>
      <w:r w:rsidRPr="008B7F94">
        <w:rPr>
          <w:lang w:val="en-US"/>
        </w:rPr>
        <w:t xml:space="preserve"> 1995; 106:507-23.</w:t>
      </w:r>
      <w:proofErr w:type="gramEnd"/>
      <w:r w:rsidRPr="008B7F94">
        <w:rPr>
          <w:lang w:val="en-US"/>
        </w:rPr>
        <w:t xml:space="preserve"> &lt; </w:t>
      </w:r>
      <w:r w:rsidRPr="008B7F94">
        <w:rPr>
          <w:rFonts w:eastAsia="Times New Roman"/>
          <w:lang w:val="en-US" w:eastAsia="ru-RU"/>
        </w:rPr>
        <w:t>PMID: 8786345&gt;</w:t>
      </w:r>
    </w:p>
    <w:p w:rsidR="00C05F72" w:rsidRPr="008B7F94" w:rsidRDefault="00C05F72" w:rsidP="00C05F72">
      <w:pPr>
        <w:spacing w:after="120" w:line="360" w:lineRule="auto"/>
        <w:rPr>
          <w:lang w:val="en-US"/>
        </w:rPr>
      </w:pPr>
      <w:r w:rsidRPr="008B7F94">
        <w:rPr>
          <w:lang w:val="en-US"/>
        </w:rPr>
        <w:lastRenderedPageBreak/>
        <w:t>6</w:t>
      </w:r>
      <w:r w:rsidR="00635007" w:rsidRPr="008B7F94">
        <w:rPr>
          <w:lang w:val="en-US"/>
        </w:rPr>
        <w:t>1.</w:t>
      </w:r>
      <w:r w:rsidRPr="008B7F94">
        <w:rPr>
          <w:lang w:val="en-US"/>
        </w:rPr>
        <w:t xml:space="preserve"> </w:t>
      </w:r>
      <w:proofErr w:type="spellStart"/>
      <w:r w:rsidRPr="008B7F94">
        <w:rPr>
          <w:lang w:val="en-US"/>
        </w:rPr>
        <w:t>Paillart</w:t>
      </w:r>
      <w:proofErr w:type="spellEnd"/>
      <w:r w:rsidRPr="008B7F94">
        <w:rPr>
          <w:lang w:val="en-US"/>
        </w:rPr>
        <w:t xml:space="preserve"> C, </w:t>
      </w:r>
      <w:proofErr w:type="spellStart"/>
      <w:r w:rsidRPr="008B7F94">
        <w:rPr>
          <w:lang w:val="en-US"/>
        </w:rPr>
        <w:t>Winkfein</w:t>
      </w:r>
      <w:proofErr w:type="spellEnd"/>
      <w:r w:rsidRPr="008B7F94">
        <w:rPr>
          <w:lang w:val="en-US"/>
        </w:rPr>
        <w:t xml:space="preserve"> RJ, </w:t>
      </w:r>
      <w:proofErr w:type="spellStart"/>
      <w:r w:rsidRPr="008B7F94">
        <w:rPr>
          <w:lang w:val="en-US"/>
        </w:rPr>
        <w:t>Schnetkamp</w:t>
      </w:r>
      <w:proofErr w:type="spellEnd"/>
      <w:r w:rsidRPr="008B7F94">
        <w:rPr>
          <w:lang w:val="en-US"/>
        </w:rPr>
        <w:t xml:space="preserve"> PP, </w:t>
      </w:r>
      <w:proofErr w:type="spellStart"/>
      <w:r w:rsidRPr="008B7F94">
        <w:rPr>
          <w:lang w:val="en-US"/>
        </w:rPr>
        <w:t>Korenbrot</w:t>
      </w:r>
      <w:proofErr w:type="spellEnd"/>
      <w:r w:rsidRPr="008B7F94">
        <w:rPr>
          <w:lang w:val="en-US"/>
        </w:rPr>
        <w:t xml:space="preserve"> JI. Functional characterization and molecular cloning of the K</w:t>
      </w:r>
      <w:r w:rsidRPr="008B7F94">
        <w:rPr>
          <w:vertAlign w:val="superscript"/>
          <w:lang w:val="en-US"/>
        </w:rPr>
        <w:t>+</w:t>
      </w:r>
      <w:r w:rsidRPr="008B7F94">
        <w:rPr>
          <w:lang w:val="en-US"/>
        </w:rPr>
        <w:t>-dependent Na</w:t>
      </w:r>
      <w:r w:rsidRPr="008B7F94">
        <w:rPr>
          <w:vertAlign w:val="superscript"/>
          <w:lang w:val="en-US"/>
        </w:rPr>
        <w:t>+</w:t>
      </w:r>
      <w:r w:rsidRPr="008B7F94">
        <w:rPr>
          <w:lang w:val="en-US"/>
        </w:rPr>
        <w:t>/Ca</w:t>
      </w:r>
      <w:r w:rsidRPr="008B7F94">
        <w:rPr>
          <w:vertAlign w:val="superscript"/>
          <w:lang w:val="en-US"/>
        </w:rPr>
        <w:t>2+</w:t>
      </w:r>
      <w:r w:rsidRPr="008B7F94">
        <w:rPr>
          <w:lang w:val="en-US"/>
        </w:rPr>
        <w:t xml:space="preserve"> exchanger in intact retinal cone photoreceptors. J Gen </w:t>
      </w:r>
      <w:proofErr w:type="spellStart"/>
      <w:r w:rsidRPr="008B7F94">
        <w:rPr>
          <w:lang w:val="en-US"/>
        </w:rPr>
        <w:t>Physiol</w:t>
      </w:r>
      <w:proofErr w:type="spellEnd"/>
      <w:r w:rsidRPr="008B7F94">
        <w:rPr>
          <w:lang w:val="en-US"/>
        </w:rPr>
        <w:t xml:space="preserve"> 2007; 129:1-16. &lt; </w:t>
      </w:r>
      <w:r w:rsidRPr="008B7F94">
        <w:rPr>
          <w:rFonts w:eastAsia="Times New Roman"/>
          <w:lang w:val="en-US" w:eastAsia="ru-RU"/>
        </w:rPr>
        <w:t>PMID: 17158950&gt;</w:t>
      </w:r>
    </w:p>
    <w:p w:rsidR="00C05F72" w:rsidRPr="008B7F94" w:rsidRDefault="00C05F72" w:rsidP="00C05F72">
      <w:pPr>
        <w:spacing w:after="120" w:line="360" w:lineRule="auto"/>
        <w:rPr>
          <w:rFonts w:eastAsia="Times New Roman"/>
          <w:lang w:val="en-US" w:eastAsia="ru-RU"/>
        </w:rPr>
      </w:pPr>
      <w:r w:rsidRPr="008B7F94">
        <w:rPr>
          <w:lang w:val="en-US"/>
        </w:rPr>
        <w:t>6</w:t>
      </w:r>
      <w:r w:rsidR="00635007" w:rsidRPr="008B7F94">
        <w:rPr>
          <w:lang w:val="en-US"/>
        </w:rPr>
        <w:t>2.</w:t>
      </w:r>
      <w:r w:rsidRPr="008B7F94">
        <w:rPr>
          <w:lang w:val="en-US"/>
        </w:rPr>
        <w:t xml:space="preserve"> </w:t>
      </w:r>
      <w:proofErr w:type="spellStart"/>
      <w:r w:rsidRPr="008B7F94">
        <w:rPr>
          <w:lang w:val="en-US"/>
        </w:rPr>
        <w:t>Hestrin</w:t>
      </w:r>
      <w:proofErr w:type="spellEnd"/>
      <w:r w:rsidRPr="008B7F94">
        <w:rPr>
          <w:lang w:val="en-US"/>
        </w:rPr>
        <w:t xml:space="preserve"> S, </w:t>
      </w:r>
      <w:proofErr w:type="spellStart"/>
      <w:r w:rsidRPr="008B7F94">
        <w:rPr>
          <w:lang w:val="en-US"/>
        </w:rPr>
        <w:t>Korenbrot</w:t>
      </w:r>
      <w:proofErr w:type="spellEnd"/>
      <w:r w:rsidRPr="008B7F94">
        <w:rPr>
          <w:lang w:val="en-US"/>
        </w:rPr>
        <w:t xml:space="preserve"> JI. Activation kinetics of retinal cones and rods: response to</w:t>
      </w:r>
      <w:r w:rsidR="00FF0B07" w:rsidRPr="008B7F94">
        <w:rPr>
          <w:lang w:val="en-US"/>
        </w:rPr>
        <w:t xml:space="preserve"> </w:t>
      </w:r>
      <w:r w:rsidRPr="008B7F94">
        <w:rPr>
          <w:lang w:val="en-US"/>
        </w:rPr>
        <w:t xml:space="preserve">intense flashes of light. </w:t>
      </w:r>
      <w:proofErr w:type="gramStart"/>
      <w:r w:rsidRPr="008B7F94">
        <w:rPr>
          <w:lang w:val="en-US"/>
        </w:rPr>
        <w:t xml:space="preserve">J </w:t>
      </w:r>
      <w:proofErr w:type="spellStart"/>
      <w:r w:rsidRPr="008B7F94">
        <w:rPr>
          <w:lang w:val="en-US"/>
        </w:rPr>
        <w:t>Neurosci</w:t>
      </w:r>
      <w:proofErr w:type="spellEnd"/>
      <w:r w:rsidRPr="008B7F94">
        <w:rPr>
          <w:lang w:val="en-US"/>
        </w:rPr>
        <w:t xml:space="preserve"> 1990; 10:1967-73.</w:t>
      </w:r>
      <w:proofErr w:type="gramEnd"/>
      <w:r w:rsidRPr="008B7F94">
        <w:rPr>
          <w:lang w:val="en-US"/>
        </w:rPr>
        <w:t xml:space="preserve"> &lt; </w:t>
      </w:r>
      <w:r w:rsidRPr="008B7F94">
        <w:rPr>
          <w:rFonts w:eastAsia="Times New Roman"/>
          <w:lang w:val="en-US" w:eastAsia="ru-RU"/>
        </w:rPr>
        <w:t>PMID: 2355261&gt;</w:t>
      </w:r>
    </w:p>
    <w:p w:rsidR="00BB2BE5" w:rsidRPr="008B7F94" w:rsidRDefault="00E938AF" w:rsidP="006B18AE">
      <w:pPr>
        <w:spacing w:after="120" w:line="360" w:lineRule="auto"/>
        <w:rPr>
          <w:rFonts w:eastAsia="Times New Roman"/>
          <w:lang w:val="en-US" w:eastAsia="ru-RU"/>
        </w:rPr>
      </w:pPr>
      <w:r w:rsidRPr="008B7F94">
        <w:rPr>
          <w:lang w:val="en-US"/>
        </w:rPr>
        <w:t>6</w:t>
      </w:r>
      <w:r w:rsidR="00635007" w:rsidRPr="008B7F94">
        <w:rPr>
          <w:lang w:val="en-US"/>
        </w:rPr>
        <w:t>3.</w:t>
      </w:r>
      <w:r w:rsidRPr="008B7F94">
        <w:rPr>
          <w:lang w:val="en-US"/>
        </w:rPr>
        <w:t xml:space="preserve"> </w:t>
      </w:r>
      <w:proofErr w:type="spellStart"/>
      <w:r w:rsidRPr="008B7F94">
        <w:rPr>
          <w:lang w:val="en-US"/>
        </w:rPr>
        <w:t>Cobbs</w:t>
      </w:r>
      <w:proofErr w:type="spellEnd"/>
      <w:r w:rsidRPr="008B7F94">
        <w:rPr>
          <w:lang w:val="en-US"/>
        </w:rPr>
        <w:t xml:space="preserve"> WH. Light and dark active phosphodiesterase regulation in salamander rods. </w:t>
      </w:r>
      <w:proofErr w:type="gramStart"/>
      <w:r w:rsidRPr="008B7F94">
        <w:rPr>
          <w:lang w:val="en-US"/>
        </w:rPr>
        <w:t xml:space="preserve">J Gen </w:t>
      </w:r>
      <w:proofErr w:type="spellStart"/>
      <w:r w:rsidRPr="008B7F94">
        <w:rPr>
          <w:lang w:val="en-US"/>
        </w:rPr>
        <w:t>Physiol</w:t>
      </w:r>
      <w:proofErr w:type="spellEnd"/>
      <w:r w:rsidRPr="008B7F94">
        <w:rPr>
          <w:lang w:val="en-US"/>
        </w:rPr>
        <w:t xml:space="preserve"> 1991; 98:575-614.</w:t>
      </w:r>
      <w:proofErr w:type="gramEnd"/>
      <w:r w:rsidRPr="008B7F94">
        <w:rPr>
          <w:lang w:val="en-US"/>
        </w:rPr>
        <w:t xml:space="preserve"> &lt; </w:t>
      </w:r>
      <w:r w:rsidRPr="008B7F94">
        <w:rPr>
          <w:rFonts w:eastAsia="Times New Roman"/>
          <w:lang w:val="en-US" w:eastAsia="ru-RU"/>
        </w:rPr>
        <w:t>PMID: 1722240&gt;</w:t>
      </w:r>
    </w:p>
    <w:p w:rsidR="00D03C79" w:rsidRPr="008B7F94" w:rsidRDefault="00D03C79" w:rsidP="00D03C79">
      <w:pPr>
        <w:autoSpaceDE w:val="0"/>
        <w:autoSpaceDN w:val="0"/>
        <w:adjustRightInd w:val="0"/>
        <w:spacing w:line="360" w:lineRule="auto"/>
        <w:rPr>
          <w:lang w:val="en-US"/>
        </w:rPr>
      </w:pPr>
      <w:bookmarkStart w:id="0" w:name="_GoBack"/>
      <w:bookmarkEnd w:id="0"/>
    </w:p>
    <w:p w:rsidR="00D03C79" w:rsidRPr="008B7F94" w:rsidRDefault="00D03C79" w:rsidP="00D03C79">
      <w:pPr>
        <w:autoSpaceDE w:val="0"/>
        <w:autoSpaceDN w:val="0"/>
        <w:adjustRightInd w:val="0"/>
        <w:spacing w:line="360" w:lineRule="auto"/>
        <w:rPr>
          <w:noProof/>
          <w:lang w:val="en-US" w:eastAsia="ru-RU"/>
        </w:rPr>
      </w:pPr>
    </w:p>
    <w:p w:rsidR="00D03C79" w:rsidRPr="008B7F94" w:rsidRDefault="00D03C79" w:rsidP="00D03C79">
      <w:pPr>
        <w:autoSpaceDE w:val="0"/>
        <w:autoSpaceDN w:val="0"/>
        <w:adjustRightInd w:val="0"/>
        <w:spacing w:line="360" w:lineRule="auto"/>
        <w:rPr>
          <w:lang w:val="en-US"/>
        </w:rPr>
      </w:pPr>
    </w:p>
    <w:p w:rsidR="00D03C79" w:rsidRPr="008B7F94" w:rsidRDefault="00D03C79" w:rsidP="00D03C79">
      <w:pPr>
        <w:autoSpaceDE w:val="0"/>
        <w:autoSpaceDN w:val="0"/>
        <w:adjustRightInd w:val="0"/>
        <w:spacing w:line="360" w:lineRule="auto"/>
        <w:rPr>
          <w:lang w:val="en-US"/>
        </w:rPr>
      </w:pPr>
    </w:p>
    <w:p w:rsidR="00D03C79" w:rsidRPr="008B7F94" w:rsidRDefault="00D03C79" w:rsidP="00D03C79">
      <w:pPr>
        <w:autoSpaceDE w:val="0"/>
        <w:autoSpaceDN w:val="0"/>
        <w:adjustRightInd w:val="0"/>
        <w:spacing w:line="360" w:lineRule="auto"/>
        <w:rPr>
          <w:b/>
          <w:noProof/>
          <w:lang w:val="en-US" w:eastAsia="ru-RU"/>
        </w:rPr>
      </w:pPr>
      <w:r w:rsidRPr="008B7F94">
        <w:rPr>
          <w:noProof/>
          <w:lang w:val="en-US" w:eastAsia="ru-RU"/>
        </w:rPr>
        <w:br w:type="page"/>
      </w:r>
      <w:r w:rsidRPr="008B7F94">
        <w:rPr>
          <w:b/>
          <w:noProof/>
          <w:lang w:val="en-US" w:eastAsia="ru-RU"/>
        </w:rPr>
        <w:lastRenderedPageBreak/>
        <w:t>APPENDIX TABLES</w:t>
      </w:r>
    </w:p>
    <w:p w:rsidR="00D03C79" w:rsidRPr="008B7F94" w:rsidRDefault="00D03C79" w:rsidP="00D03C79">
      <w:pPr>
        <w:autoSpaceDE w:val="0"/>
        <w:autoSpaceDN w:val="0"/>
        <w:adjustRightInd w:val="0"/>
        <w:spacing w:line="360" w:lineRule="auto"/>
        <w:rPr>
          <w:b/>
          <w:noProof/>
          <w:lang w:val="en-US" w:eastAsia="ru-RU"/>
        </w:rPr>
      </w:pPr>
    </w:p>
    <w:p w:rsidR="00D03C79" w:rsidRPr="008B7F94" w:rsidRDefault="00D03C79" w:rsidP="00D03C79">
      <w:pPr>
        <w:autoSpaceDE w:val="0"/>
        <w:autoSpaceDN w:val="0"/>
        <w:adjustRightInd w:val="0"/>
        <w:spacing w:line="360" w:lineRule="auto"/>
        <w:rPr>
          <w:lang w:val="en-US"/>
        </w:rPr>
      </w:pPr>
      <w:r w:rsidRPr="008B7F94">
        <w:rPr>
          <w:lang w:val="en-US"/>
        </w:rPr>
        <w:t xml:space="preserve">Table A1. </w:t>
      </w:r>
      <w:proofErr w:type="gramStart"/>
      <w:r w:rsidRPr="008B7F94">
        <w:rPr>
          <w:lang w:val="en-US"/>
        </w:rPr>
        <w:t>Definition of model parameters.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6"/>
        <w:gridCol w:w="5897"/>
        <w:gridCol w:w="1208"/>
      </w:tblGrid>
      <w:tr w:rsidR="00D03C79" w:rsidRPr="008B7F94" w:rsidTr="00370D40">
        <w:tc>
          <w:tcPr>
            <w:tcW w:w="1716" w:type="dxa"/>
          </w:tcPr>
          <w:p w:rsidR="00D03C79" w:rsidRPr="008B7F94" w:rsidRDefault="00D03C79" w:rsidP="00370D40">
            <w:pPr>
              <w:rPr>
                <w:lang w:val="en-US"/>
              </w:rPr>
            </w:pPr>
            <w:r w:rsidRPr="008B7F94">
              <w:rPr>
                <w:lang w:val="en-US"/>
              </w:rPr>
              <w:t>Parameter</w:t>
            </w:r>
          </w:p>
        </w:tc>
        <w:tc>
          <w:tcPr>
            <w:tcW w:w="5897" w:type="dxa"/>
          </w:tcPr>
          <w:p w:rsidR="00D03C79" w:rsidRPr="008B7F94" w:rsidRDefault="00D03C79" w:rsidP="00370D40">
            <w:pPr>
              <w:rPr>
                <w:lang w:val="en-US"/>
              </w:rPr>
            </w:pPr>
            <w:r w:rsidRPr="008B7F94">
              <w:rPr>
                <w:lang w:val="en-US"/>
              </w:rPr>
              <w:t>Meaning</w:t>
            </w:r>
          </w:p>
        </w:tc>
        <w:tc>
          <w:tcPr>
            <w:tcW w:w="0" w:type="auto"/>
          </w:tcPr>
          <w:p w:rsidR="00D03C79" w:rsidRPr="008B7F94" w:rsidRDefault="00D03C79" w:rsidP="00370D40">
            <w:pPr>
              <w:rPr>
                <w:lang w:val="en-US"/>
              </w:rPr>
            </w:pPr>
            <w:r w:rsidRPr="008B7F94">
              <w:rPr>
                <w:lang w:val="en-US"/>
              </w:rPr>
              <w:t>Units</w:t>
            </w:r>
          </w:p>
        </w:tc>
      </w:tr>
      <w:tr w:rsidR="00D03C79" w:rsidRPr="008B7F94" w:rsidTr="00370D40">
        <w:tc>
          <w:tcPr>
            <w:tcW w:w="1716" w:type="dxa"/>
          </w:tcPr>
          <w:p w:rsidR="00D03C79" w:rsidRPr="008B7F94" w:rsidRDefault="00D03C79" w:rsidP="00370D40">
            <w:pPr>
              <w:rPr>
                <w:lang w:val="en-US"/>
              </w:rPr>
            </w:pPr>
            <w:proofErr w:type="spellStart"/>
            <w:r w:rsidRPr="008B7F94">
              <w:rPr>
                <w:i/>
                <w:iCs/>
                <w:szCs w:val="22"/>
                <w:lang w:val="en-US"/>
              </w:rPr>
              <w:t>V</w:t>
            </w:r>
            <w:r w:rsidRPr="008B7F94">
              <w:rPr>
                <w:i/>
                <w:iCs/>
                <w:szCs w:val="22"/>
                <w:vertAlign w:val="subscript"/>
                <w:lang w:val="en-US"/>
              </w:rPr>
              <w:t>cyto</w:t>
            </w:r>
            <w:proofErr w:type="spellEnd"/>
            <w:r w:rsidRPr="008B7F94">
              <w:rPr>
                <w:i/>
                <w:iCs/>
                <w:szCs w:val="22"/>
                <w:vertAlign w:val="subscript"/>
                <w:lang w:val="en-US"/>
              </w:rPr>
              <w:t xml:space="preserve"> </w:t>
            </w:r>
            <w:r w:rsidRPr="008B7F94">
              <w:rPr>
                <w:szCs w:val="22"/>
                <w:lang w:val="en-US"/>
              </w:rPr>
              <w:tab/>
            </w:r>
            <w:r w:rsidRPr="008B7F94">
              <w:rPr>
                <w:szCs w:val="22"/>
                <w:lang w:val="en-US"/>
              </w:rPr>
              <w:tab/>
            </w:r>
          </w:p>
        </w:tc>
        <w:tc>
          <w:tcPr>
            <w:tcW w:w="5897" w:type="dxa"/>
          </w:tcPr>
          <w:p w:rsidR="00D03C79" w:rsidRPr="008B7F94" w:rsidRDefault="00D03C79" w:rsidP="00370D40">
            <w:pPr>
              <w:pStyle w:val="a4"/>
              <w:rPr>
                <w:szCs w:val="22"/>
              </w:rPr>
            </w:pPr>
            <w:r w:rsidRPr="008B7F94">
              <w:rPr>
                <w:szCs w:val="22"/>
              </w:rPr>
              <w:t>OS cytoplasmic volume</w:t>
            </w:r>
            <w:r w:rsidRPr="008B7F94">
              <w:rPr>
                <w:szCs w:val="22"/>
              </w:rPr>
              <w:tab/>
            </w:r>
          </w:p>
        </w:tc>
        <w:tc>
          <w:tcPr>
            <w:tcW w:w="0" w:type="auto"/>
          </w:tcPr>
          <w:p w:rsidR="00D03C79" w:rsidRPr="008B7F94" w:rsidRDefault="00D03C79" w:rsidP="00370D40">
            <w:pPr>
              <w:rPr>
                <w:lang w:val="en-US"/>
              </w:rPr>
            </w:pPr>
            <w:r w:rsidRPr="008B7F94">
              <w:rPr>
                <w:szCs w:val="22"/>
                <w:lang w:val="en-US"/>
              </w:rPr>
              <w:t>l</w:t>
            </w:r>
          </w:p>
        </w:tc>
      </w:tr>
      <w:tr w:rsidR="00D03C79" w:rsidRPr="001B084C" w:rsidTr="00370D40">
        <w:trPr>
          <w:cantSplit/>
        </w:trPr>
        <w:tc>
          <w:tcPr>
            <w:tcW w:w="8821" w:type="dxa"/>
            <w:gridSpan w:val="3"/>
          </w:tcPr>
          <w:p w:rsidR="00D03C79" w:rsidRPr="008B7F94" w:rsidRDefault="00D03C79" w:rsidP="00370D40">
            <w:pPr>
              <w:pStyle w:val="1"/>
              <w:spacing w:before="120"/>
              <w:rPr>
                <w:rFonts w:ascii="Times New Roman" w:hAnsi="Times New Roman"/>
                <w:b w:val="0"/>
                <w:color w:val="auto"/>
                <w:sz w:val="24"/>
                <w:szCs w:val="24"/>
                <w:lang w:val="en-US"/>
              </w:rPr>
            </w:pPr>
            <w:r w:rsidRPr="008B7F94">
              <w:rPr>
                <w:rFonts w:ascii="Times New Roman" w:hAnsi="Times New Roman"/>
                <w:b w:val="0"/>
                <w:color w:val="auto"/>
                <w:sz w:val="24"/>
                <w:szCs w:val="24"/>
                <w:lang w:val="en-US"/>
              </w:rPr>
              <w:t>Visual pigment activation and quenching</w:t>
            </w:r>
          </w:p>
        </w:tc>
      </w:tr>
      <w:tr w:rsidR="00D03C79" w:rsidRPr="008B7F94" w:rsidTr="00370D40">
        <w:tc>
          <w:tcPr>
            <w:tcW w:w="1716" w:type="dxa"/>
          </w:tcPr>
          <w:p w:rsidR="00D03C79" w:rsidRPr="008B7F94" w:rsidRDefault="00D03C79" w:rsidP="00370D40">
            <w:r w:rsidRPr="008B7F94">
              <w:rPr>
                <w:i/>
                <w:iCs/>
              </w:rPr>
              <w:t>I</w:t>
            </w:r>
          </w:p>
        </w:tc>
        <w:tc>
          <w:tcPr>
            <w:tcW w:w="5897" w:type="dxa"/>
          </w:tcPr>
          <w:p w:rsidR="00D03C79" w:rsidRPr="008B7F94" w:rsidRDefault="00D03C79" w:rsidP="00370D40">
            <w:r w:rsidRPr="008B7F94">
              <w:rPr>
                <w:lang w:val="en-US"/>
              </w:rPr>
              <w:t xml:space="preserve">incoming </w:t>
            </w:r>
            <w:r w:rsidRPr="008B7F94">
              <w:t>light intensity</w:t>
            </w:r>
            <w:r w:rsidRPr="008B7F94">
              <w:tab/>
            </w:r>
          </w:p>
        </w:tc>
        <w:tc>
          <w:tcPr>
            <w:tcW w:w="0" w:type="auto"/>
          </w:tcPr>
          <w:p w:rsidR="00D03C79" w:rsidRPr="008B7F94" w:rsidRDefault="00D03C79" w:rsidP="00370D40">
            <w:pPr>
              <w:rPr>
                <w:lang w:val="en-US"/>
              </w:rPr>
            </w:pPr>
            <w:r w:rsidRPr="008B7F94">
              <w:rPr>
                <w:i/>
                <w:iCs/>
              </w:rPr>
              <w:t>R*</w:t>
            </w:r>
            <w:r w:rsidRPr="008B7F94">
              <w:rPr>
                <w:vertAlign w:val="superscript"/>
              </w:rPr>
              <w:t>.</w:t>
            </w:r>
            <w:r w:rsidRPr="008B7F94">
              <w:t>s</w:t>
            </w:r>
            <w:r w:rsidRPr="008B7F94">
              <w:rPr>
                <w:vertAlign w:val="superscript"/>
              </w:rPr>
              <w:t>-1</w:t>
            </w:r>
            <w:r w:rsidRPr="008B7F94">
              <w:rPr>
                <w:rFonts w:ascii="Symbol" w:hAnsi="Symbol"/>
                <w:lang w:val="en-US"/>
              </w:rPr>
              <w:t></w:t>
            </w:r>
            <w:r w:rsidRPr="008B7F94">
              <w:rPr>
                <w:lang w:val="en-US"/>
              </w:rPr>
              <w:t>m</w:t>
            </w:r>
            <w:r w:rsidRPr="008B7F94">
              <w:rPr>
                <w:vertAlign w:val="superscript"/>
                <w:lang w:val="en-US"/>
              </w:rPr>
              <w:t>-2</w:t>
            </w:r>
          </w:p>
        </w:tc>
      </w:tr>
      <w:tr w:rsidR="00D03C79" w:rsidRPr="001B084C" w:rsidTr="00370D40">
        <w:tc>
          <w:tcPr>
            <w:tcW w:w="1716" w:type="dxa"/>
          </w:tcPr>
          <w:p w:rsidR="00D03C79" w:rsidRPr="008B7F94" w:rsidRDefault="00D03C79" w:rsidP="00370D40">
            <w:r w:rsidRPr="008B7F94">
              <w:rPr>
                <w:i/>
                <w:iCs/>
              </w:rPr>
              <w:t>R*</w:t>
            </w:r>
            <w:r w:rsidRPr="008B7F94">
              <w:tab/>
            </w:r>
          </w:p>
        </w:tc>
        <w:tc>
          <w:tcPr>
            <w:tcW w:w="5897" w:type="dxa"/>
          </w:tcPr>
          <w:p w:rsidR="00D03C79" w:rsidRPr="008B7F94" w:rsidRDefault="00D03C79" w:rsidP="00370D40">
            <w:pPr>
              <w:rPr>
                <w:lang w:val="en-US"/>
              </w:rPr>
            </w:pPr>
            <w:r w:rsidRPr="008B7F94">
              <w:rPr>
                <w:lang w:val="en-US"/>
              </w:rPr>
              <w:t>number of activated visual pigment molecules</w:t>
            </w:r>
          </w:p>
        </w:tc>
        <w:tc>
          <w:tcPr>
            <w:tcW w:w="0" w:type="auto"/>
          </w:tcPr>
          <w:p w:rsidR="00D03C79" w:rsidRPr="008B7F94" w:rsidRDefault="00D03C79" w:rsidP="00370D40">
            <w:pPr>
              <w:rPr>
                <w:lang w:val="en-US"/>
              </w:rPr>
            </w:pPr>
          </w:p>
        </w:tc>
      </w:tr>
      <w:tr w:rsidR="00D03C79" w:rsidRPr="008B7F94" w:rsidTr="00370D40">
        <w:tc>
          <w:tcPr>
            <w:tcW w:w="1716" w:type="dxa"/>
          </w:tcPr>
          <w:p w:rsidR="00D03C79" w:rsidRPr="008B7F94" w:rsidRDefault="00D03C79" w:rsidP="00370D40">
            <w:proofErr w:type="spellStart"/>
            <w:r w:rsidRPr="008B7F94">
              <w:rPr>
                <w:i/>
                <w:iCs/>
              </w:rPr>
              <w:t>k</w:t>
            </w:r>
            <w:r w:rsidRPr="008B7F94">
              <w:rPr>
                <w:i/>
                <w:iCs/>
                <w:vertAlign w:val="subscript"/>
              </w:rPr>
              <w:t>R</w:t>
            </w:r>
            <w:proofErr w:type="spellEnd"/>
            <w:r w:rsidRPr="008B7F94">
              <w:rPr>
                <w:vertAlign w:val="subscript"/>
                <w:lang w:val="en-US"/>
              </w:rPr>
              <w:t>min</w:t>
            </w:r>
            <w:r w:rsidRPr="008B7F94">
              <w:t xml:space="preserve"> </w:t>
            </w:r>
            <w:r w:rsidRPr="008B7F94">
              <w:tab/>
            </w:r>
            <w:r w:rsidRPr="008B7F94">
              <w:tab/>
            </w:r>
          </w:p>
        </w:tc>
        <w:tc>
          <w:tcPr>
            <w:tcW w:w="5897" w:type="dxa"/>
          </w:tcPr>
          <w:p w:rsidR="00D03C79" w:rsidRPr="008B7F94" w:rsidRDefault="00D03C79" w:rsidP="00370D40">
            <w:pPr>
              <w:rPr>
                <w:lang w:val="en-US"/>
              </w:rPr>
            </w:pPr>
            <w:r w:rsidRPr="008B7F94">
              <w:rPr>
                <w:lang w:val="en-US"/>
              </w:rPr>
              <w:t xml:space="preserve">minimum rate constant of </w:t>
            </w:r>
            <w:r w:rsidRPr="008B7F94">
              <w:rPr>
                <w:i/>
                <w:iCs/>
                <w:lang w:val="en-US"/>
              </w:rPr>
              <w:t xml:space="preserve">R* </w:t>
            </w:r>
            <w:r w:rsidRPr="008B7F94">
              <w:rPr>
                <w:lang w:val="en-US"/>
              </w:rPr>
              <w:t xml:space="preserve">phosphorylation at high </w:t>
            </w:r>
            <w:r w:rsidRPr="008B7F94">
              <w:rPr>
                <w:i/>
                <w:lang w:val="en-US"/>
              </w:rPr>
              <w:t>Ca</w:t>
            </w:r>
            <w:r w:rsidRPr="008B7F94">
              <w:rPr>
                <w:lang w:val="en-US"/>
              </w:rPr>
              <w:tab/>
            </w:r>
          </w:p>
        </w:tc>
        <w:tc>
          <w:tcPr>
            <w:tcW w:w="0" w:type="auto"/>
          </w:tcPr>
          <w:p w:rsidR="00D03C79" w:rsidRPr="008B7F94" w:rsidRDefault="00D03C79" w:rsidP="00370D40">
            <w:r w:rsidRPr="008B7F94">
              <w:t>s</w:t>
            </w:r>
            <w:r w:rsidRPr="008B7F94">
              <w:rPr>
                <w:vertAlign w:val="superscript"/>
              </w:rPr>
              <w:t>-1</w:t>
            </w:r>
          </w:p>
        </w:tc>
      </w:tr>
      <w:tr w:rsidR="00D03C79" w:rsidRPr="008B7F94" w:rsidTr="00370D40">
        <w:tc>
          <w:tcPr>
            <w:tcW w:w="1716" w:type="dxa"/>
          </w:tcPr>
          <w:p w:rsidR="00D03C79" w:rsidRPr="008B7F94" w:rsidRDefault="00D03C79" w:rsidP="00370D40">
            <w:r w:rsidRPr="008B7F94">
              <w:rPr>
                <w:i/>
                <w:iCs/>
              </w:rPr>
              <w:t>k</w:t>
            </w:r>
            <w:r w:rsidRPr="008B7F94">
              <w:rPr>
                <w:i/>
                <w:iCs/>
                <w:vertAlign w:val="subscript"/>
              </w:rPr>
              <w:t>R</w:t>
            </w:r>
            <w:r w:rsidRPr="008B7F94">
              <w:rPr>
                <w:vertAlign w:val="subscript"/>
              </w:rPr>
              <w:t>max</w:t>
            </w:r>
            <w:r w:rsidRPr="008B7F94">
              <w:tab/>
            </w:r>
          </w:p>
        </w:tc>
        <w:tc>
          <w:tcPr>
            <w:tcW w:w="5897" w:type="dxa"/>
          </w:tcPr>
          <w:p w:rsidR="00D03C79" w:rsidRPr="008B7F94" w:rsidRDefault="00D03C79" w:rsidP="00370D40">
            <w:pPr>
              <w:rPr>
                <w:lang w:val="en-US"/>
              </w:rPr>
            </w:pPr>
            <w:r w:rsidRPr="008B7F94">
              <w:rPr>
                <w:lang w:val="en-US"/>
              </w:rPr>
              <w:t xml:space="preserve">maximum rate constant of </w:t>
            </w:r>
            <w:r w:rsidRPr="008B7F94">
              <w:rPr>
                <w:i/>
                <w:iCs/>
                <w:lang w:val="en-US"/>
              </w:rPr>
              <w:t xml:space="preserve">R* </w:t>
            </w:r>
            <w:r w:rsidRPr="008B7F94">
              <w:rPr>
                <w:lang w:val="en-US"/>
              </w:rPr>
              <w:t xml:space="preserve">phosphorylation at zero </w:t>
            </w:r>
            <w:r w:rsidRPr="008B7F94">
              <w:rPr>
                <w:i/>
                <w:lang w:val="en-US"/>
              </w:rPr>
              <w:t>Ca</w:t>
            </w:r>
            <w:r w:rsidRPr="008B7F94">
              <w:rPr>
                <w:lang w:val="en-US"/>
              </w:rPr>
              <w:tab/>
            </w:r>
          </w:p>
        </w:tc>
        <w:tc>
          <w:tcPr>
            <w:tcW w:w="0" w:type="auto"/>
          </w:tcPr>
          <w:p w:rsidR="00D03C79" w:rsidRPr="008B7F94" w:rsidRDefault="00D03C79" w:rsidP="00370D40">
            <w:pPr>
              <w:rPr>
                <w:lang w:val="en-US"/>
              </w:rPr>
            </w:pPr>
            <w:r w:rsidRPr="008B7F94">
              <w:t>s</w:t>
            </w:r>
            <w:r w:rsidRPr="008B7F94">
              <w:rPr>
                <w:vertAlign w:val="superscript"/>
              </w:rPr>
              <w:t>-1</w:t>
            </w:r>
          </w:p>
        </w:tc>
      </w:tr>
      <w:tr w:rsidR="00D03C79" w:rsidRPr="008B7F94" w:rsidTr="00370D40">
        <w:tc>
          <w:tcPr>
            <w:tcW w:w="1716" w:type="dxa"/>
          </w:tcPr>
          <w:p w:rsidR="00D03C79" w:rsidRPr="008B7F94" w:rsidRDefault="00D03C79" w:rsidP="00370D40">
            <w:r w:rsidRPr="008B7F94">
              <w:rPr>
                <w:i/>
                <w:iCs/>
              </w:rPr>
              <w:t>K</w:t>
            </w:r>
            <w:r w:rsidRPr="008B7F94">
              <w:rPr>
                <w:i/>
                <w:iCs/>
                <w:vertAlign w:val="subscript"/>
              </w:rPr>
              <w:t>CaR</w:t>
            </w:r>
            <w:r w:rsidRPr="008B7F94">
              <w:tab/>
            </w:r>
            <w:r w:rsidRPr="008B7F94">
              <w:tab/>
            </w:r>
          </w:p>
        </w:tc>
        <w:tc>
          <w:tcPr>
            <w:tcW w:w="5897" w:type="dxa"/>
          </w:tcPr>
          <w:p w:rsidR="00D03C79" w:rsidRPr="008B7F94" w:rsidRDefault="00D03C79" w:rsidP="00370D40">
            <w:pPr>
              <w:rPr>
                <w:lang w:val="en-US"/>
              </w:rPr>
            </w:pPr>
            <w:r w:rsidRPr="008B7F94">
              <w:rPr>
                <w:lang w:val="en-US"/>
              </w:rPr>
              <w:t xml:space="preserve">half-saturating </w:t>
            </w:r>
            <w:r w:rsidRPr="008B7F94">
              <w:rPr>
                <w:i/>
                <w:iCs/>
                <w:lang w:val="en-US"/>
              </w:rPr>
              <w:t>Ca</w:t>
            </w:r>
            <w:r w:rsidRPr="008B7F94">
              <w:rPr>
                <w:lang w:val="en-US"/>
              </w:rPr>
              <w:t xml:space="preserve"> for </w:t>
            </w:r>
            <w:r w:rsidRPr="008B7F94">
              <w:rPr>
                <w:i/>
                <w:iCs/>
                <w:lang w:val="en-US"/>
              </w:rPr>
              <w:t>R*</w:t>
            </w:r>
            <w:r w:rsidRPr="008B7F94">
              <w:rPr>
                <w:lang w:val="en-US"/>
              </w:rPr>
              <w:t xml:space="preserve"> phosphorylation</w:t>
            </w:r>
          </w:p>
        </w:tc>
        <w:tc>
          <w:tcPr>
            <w:tcW w:w="0" w:type="auto"/>
          </w:tcPr>
          <w:p w:rsidR="00D03C79" w:rsidRPr="008B7F94" w:rsidRDefault="00D03C79" w:rsidP="00370D40">
            <w:r w:rsidRPr="008B7F94">
              <w:rPr>
                <w:rFonts w:ascii="Symbol" w:hAnsi="Symbol"/>
                <w:lang w:val="en-US"/>
              </w:rPr>
              <w:t></w:t>
            </w:r>
            <w:r w:rsidRPr="008B7F94">
              <w:t>M</w:t>
            </w:r>
          </w:p>
        </w:tc>
      </w:tr>
      <w:tr w:rsidR="00D03C79" w:rsidRPr="001B084C" w:rsidTr="00370D40">
        <w:tc>
          <w:tcPr>
            <w:tcW w:w="1716" w:type="dxa"/>
          </w:tcPr>
          <w:p w:rsidR="00D03C79" w:rsidRPr="008B7F94" w:rsidRDefault="00D03C79" w:rsidP="00370D40">
            <w:r w:rsidRPr="008B7F94">
              <w:rPr>
                <w:i/>
                <w:iCs/>
              </w:rPr>
              <w:t>n</w:t>
            </w:r>
            <w:r w:rsidRPr="008B7F94">
              <w:rPr>
                <w:i/>
                <w:iCs/>
                <w:vertAlign w:val="subscript"/>
              </w:rPr>
              <w:t>CaR</w:t>
            </w:r>
          </w:p>
        </w:tc>
        <w:tc>
          <w:tcPr>
            <w:tcW w:w="5897" w:type="dxa"/>
          </w:tcPr>
          <w:p w:rsidR="00D03C79" w:rsidRPr="008B7F94" w:rsidRDefault="00D03C79" w:rsidP="00370D40">
            <w:pPr>
              <w:rPr>
                <w:lang w:val="en-US"/>
              </w:rPr>
            </w:pPr>
            <w:r w:rsidRPr="008B7F94">
              <w:rPr>
                <w:lang w:val="en-US"/>
              </w:rPr>
              <w:t xml:space="preserve">Hill’s coefficient for </w:t>
            </w:r>
            <w:r w:rsidRPr="008B7F94">
              <w:rPr>
                <w:i/>
                <w:iCs/>
                <w:lang w:val="en-US"/>
              </w:rPr>
              <w:t>R*</w:t>
            </w:r>
            <w:r w:rsidRPr="008B7F94">
              <w:rPr>
                <w:lang w:val="en-US"/>
              </w:rPr>
              <w:t xml:space="preserve"> phosphorylation control by </w:t>
            </w:r>
            <w:r w:rsidRPr="008B7F94">
              <w:rPr>
                <w:i/>
                <w:iCs/>
                <w:lang w:val="en-US"/>
              </w:rPr>
              <w:t>Ca</w:t>
            </w:r>
          </w:p>
        </w:tc>
        <w:tc>
          <w:tcPr>
            <w:tcW w:w="0" w:type="auto"/>
          </w:tcPr>
          <w:p w:rsidR="00D03C79" w:rsidRPr="008B7F94" w:rsidRDefault="00D03C79" w:rsidP="00370D40">
            <w:pPr>
              <w:rPr>
                <w:lang w:val="en-US"/>
              </w:rPr>
            </w:pPr>
          </w:p>
        </w:tc>
      </w:tr>
      <w:tr w:rsidR="00D03C79" w:rsidRPr="008B7F94" w:rsidTr="00370D40">
        <w:tc>
          <w:tcPr>
            <w:tcW w:w="1716" w:type="dxa"/>
          </w:tcPr>
          <w:p w:rsidR="00D03C79" w:rsidRPr="008B7F94" w:rsidRDefault="00D03C79" w:rsidP="00370D40">
            <w:pPr>
              <w:rPr>
                <w:i/>
                <w:iCs/>
                <w:lang w:val="en-US"/>
              </w:rPr>
            </w:pPr>
            <w:proofErr w:type="spellStart"/>
            <w:r w:rsidRPr="008B7F94">
              <w:rPr>
                <w:i/>
                <w:iCs/>
                <w:lang w:val="en-US"/>
              </w:rPr>
              <w:t>k</w:t>
            </w:r>
            <w:r w:rsidRPr="008B7F94">
              <w:rPr>
                <w:i/>
                <w:iCs/>
                <w:vertAlign w:val="subscript"/>
                <w:lang w:val="en-US"/>
              </w:rPr>
              <w:t>Arr</w:t>
            </w:r>
            <w:proofErr w:type="spellEnd"/>
          </w:p>
        </w:tc>
        <w:tc>
          <w:tcPr>
            <w:tcW w:w="5897" w:type="dxa"/>
          </w:tcPr>
          <w:p w:rsidR="00D03C79" w:rsidRPr="008B7F94" w:rsidRDefault="00D03C79" w:rsidP="00370D40">
            <w:pPr>
              <w:rPr>
                <w:lang w:val="en-US"/>
              </w:rPr>
            </w:pPr>
            <w:r w:rsidRPr="008B7F94">
              <w:rPr>
                <w:lang w:val="en-US"/>
              </w:rPr>
              <w:t>rate constant of arrestin binding to phosphorylated R*</w:t>
            </w:r>
          </w:p>
        </w:tc>
        <w:tc>
          <w:tcPr>
            <w:tcW w:w="0" w:type="auto"/>
          </w:tcPr>
          <w:p w:rsidR="00D03C79" w:rsidRPr="008B7F94" w:rsidRDefault="00D03C79" w:rsidP="00370D40">
            <w:pPr>
              <w:rPr>
                <w:lang w:val="en-US"/>
              </w:rPr>
            </w:pPr>
            <w:r w:rsidRPr="008B7F94">
              <w:t>s</w:t>
            </w:r>
            <w:r w:rsidRPr="008B7F94">
              <w:rPr>
                <w:vertAlign w:val="superscript"/>
              </w:rPr>
              <w:t>-1</w:t>
            </w:r>
          </w:p>
        </w:tc>
      </w:tr>
      <w:tr w:rsidR="00D03C79" w:rsidRPr="008B7F94" w:rsidTr="00370D40">
        <w:trPr>
          <w:cantSplit/>
        </w:trPr>
        <w:tc>
          <w:tcPr>
            <w:tcW w:w="8821" w:type="dxa"/>
            <w:gridSpan w:val="3"/>
          </w:tcPr>
          <w:p w:rsidR="00D03C79" w:rsidRPr="008B7F94" w:rsidRDefault="00D03C79" w:rsidP="00370D40">
            <w:pPr>
              <w:pStyle w:val="1"/>
              <w:spacing w:before="120"/>
              <w:rPr>
                <w:rFonts w:ascii="Times New Roman" w:hAnsi="Times New Roman"/>
                <w:b w:val="0"/>
                <w:color w:val="auto"/>
                <w:sz w:val="24"/>
                <w:szCs w:val="24"/>
              </w:rPr>
            </w:pPr>
            <w:r w:rsidRPr="008B7F94">
              <w:rPr>
                <w:rFonts w:ascii="Times New Roman" w:hAnsi="Times New Roman"/>
                <w:b w:val="0"/>
                <w:color w:val="auto"/>
                <w:sz w:val="24"/>
                <w:szCs w:val="24"/>
              </w:rPr>
              <w:t>PDE activation and quenching</w:t>
            </w:r>
          </w:p>
        </w:tc>
      </w:tr>
      <w:tr w:rsidR="00D03C79" w:rsidRPr="001B084C" w:rsidTr="00370D40">
        <w:tc>
          <w:tcPr>
            <w:tcW w:w="1716" w:type="dxa"/>
          </w:tcPr>
          <w:p w:rsidR="00D03C79" w:rsidRPr="008B7F94" w:rsidRDefault="00D03C79" w:rsidP="00370D40">
            <w:r w:rsidRPr="008B7F94">
              <w:rPr>
                <w:i/>
                <w:iCs/>
                <w:kern w:val="32"/>
              </w:rPr>
              <w:t>Е</w:t>
            </w:r>
            <w:r w:rsidRPr="008B7F94">
              <w:rPr>
                <w:b/>
                <w:bCs/>
                <w:kern w:val="32"/>
              </w:rPr>
              <w:t>*</w:t>
            </w:r>
            <w:r w:rsidRPr="008B7F94">
              <w:rPr>
                <w:b/>
                <w:bCs/>
                <w:kern w:val="32"/>
              </w:rPr>
              <w:tab/>
            </w:r>
          </w:p>
        </w:tc>
        <w:tc>
          <w:tcPr>
            <w:tcW w:w="5897" w:type="dxa"/>
          </w:tcPr>
          <w:p w:rsidR="00D03C79" w:rsidRPr="008B7F94" w:rsidRDefault="00D03C79" w:rsidP="00370D40">
            <w:pPr>
              <w:rPr>
                <w:lang w:val="en-US"/>
              </w:rPr>
            </w:pPr>
            <w:r w:rsidRPr="008B7F94">
              <w:rPr>
                <w:lang w:val="en-US"/>
              </w:rPr>
              <w:t>number of activated PDE molecules</w:t>
            </w:r>
          </w:p>
        </w:tc>
        <w:tc>
          <w:tcPr>
            <w:tcW w:w="0" w:type="auto"/>
          </w:tcPr>
          <w:p w:rsidR="00D03C79" w:rsidRPr="008B7F94" w:rsidRDefault="00D03C79" w:rsidP="00370D40">
            <w:pPr>
              <w:rPr>
                <w:lang w:val="en-US"/>
              </w:rPr>
            </w:pPr>
          </w:p>
        </w:tc>
      </w:tr>
      <w:tr w:rsidR="00D03C79" w:rsidRPr="008B7F94" w:rsidTr="00370D40">
        <w:tc>
          <w:tcPr>
            <w:tcW w:w="1716" w:type="dxa"/>
          </w:tcPr>
          <w:p w:rsidR="00D03C79" w:rsidRPr="008B7F94" w:rsidRDefault="00D03C79" w:rsidP="00370D40">
            <w:proofErr w:type="spellStart"/>
            <w:r w:rsidRPr="008B7F94">
              <w:rPr>
                <w:i/>
                <w:iCs/>
              </w:rPr>
              <w:t>v</w:t>
            </w:r>
            <w:r w:rsidRPr="0075029F">
              <w:rPr>
                <w:i/>
                <w:iCs/>
                <w:vertAlign w:val="subscript"/>
              </w:rPr>
              <w:t>RE</w:t>
            </w:r>
            <w:proofErr w:type="spellEnd"/>
            <w:r w:rsidRPr="008B7F94">
              <w:tab/>
            </w:r>
            <w:r w:rsidRPr="008B7F94">
              <w:tab/>
            </w:r>
          </w:p>
        </w:tc>
        <w:tc>
          <w:tcPr>
            <w:tcW w:w="5897" w:type="dxa"/>
          </w:tcPr>
          <w:p w:rsidR="00D03C79" w:rsidRPr="008B7F94" w:rsidRDefault="00D03C79" w:rsidP="00370D40">
            <w:pPr>
              <w:rPr>
                <w:lang w:val="en-US"/>
              </w:rPr>
            </w:pPr>
            <w:r w:rsidRPr="008B7F94">
              <w:rPr>
                <w:lang w:val="en-US"/>
              </w:rPr>
              <w:t xml:space="preserve">rate of PDE activation by fully active </w:t>
            </w:r>
            <w:r w:rsidRPr="008B7F94">
              <w:rPr>
                <w:i/>
                <w:iCs/>
                <w:lang w:val="en-US"/>
              </w:rPr>
              <w:t>R*</w:t>
            </w:r>
          </w:p>
        </w:tc>
        <w:tc>
          <w:tcPr>
            <w:tcW w:w="0" w:type="auto"/>
          </w:tcPr>
          <w:p w:rsidR="00D03C79" w:rsidRPr="008B7F94" w:rsidRDefault="00D03C79" w:rsidP="00370D40">
            <w:r w:rsidRPr="008B7F94">
              <w:t>s</w:t>
            </w:r>
            <w:r w:rsidRPr="008B7F94">
              <w:rPr>
                <w:vertAlign w:val="superscript"/>
              </w:rPr>
              <w:t>-1</w:t>
            </w:r>
          </w:p>
        </w:tc>
      </w:tr>
      <w:tr w:rsidR="00D03C79" w:rsidRPr="001B084C" w:rsidTr="00370D40">
        <w:tc>
          <w:tcPr>
            <w:tcW w:w="1716" w:type="dxa"/>
          </w:tcPr>
          <w:p w:rsidR="00D03C79" w:rsidRPr="008B7F94" w:rsidRDefault="00D03C79" w:rsidP="00370D40">
            <w:pPr>
              <w:rPr>
                <w:i/>
                <w:iCs/>
                <w:lang w:val="en-US"/>
              </w:rPr>
            </w:pPr>
            <w:proofErr w:type="spellStart"/>
            <w:r w:rsidRPr="008B7F94">
              <w:rPr>
                <w:i/>
                <w:iCs/>
                <w:lang w:val="en-US"/>
              </w:rPr>
              <w:t>a</w:t>
            </w:r>
            <w:r w:rsidRPr="008B7F94">
              <w:rPr>
                <w:i/>
                <w:iCs/>
                <w:vertAlign w:val="subscript"/>
                <w:lang w:val="en-US"/>
              </w:rPr>
              <w:t>P</w:t>
            </w:r>
            <w:proofErr w:type="spellEnd"/>
          </w:p>
        </w:tc>
        <w:tc>
          <w:tcPr>
            <w:tcW w:w="5897" w:type="dxa"/>
          </w:tcPr>
          <w:p w:rsidR="00D03C79" w:rsidRPr="008B7F94" w:rsidRDefault="00D03C79" w:rsidP="00370D40">
            <w:pPr>
              <w:rPr>
                <w:lang w:val="en-US"/>
              </w:rPr>
            </w:pPr>
            <w:r w:rsidRPr="008B7F94">
              <w:rPr>
                <w:lang w:val="en-US"/>
              </w:rPr>
              <w:t xml:space="preserve">fractional activity of phosphorylated, arrestin-free </w:t>
            </w:r>
            <w:r w:rsidRPr="008B7F94">
              <w:rPr>
                <w:i/>
                <w:lang w:val="en-US"/>
              </w:rPr>
              <w:t>R*</w:t>
            </w:r>
          </w:p>
        </w:tc>
        <w:tc>
          <w:tcPr>
            <w:tcW w:w="0" w:type="auto"/>
          </w:tcPr>
          <w:p w:rsidR="00D03C79" w:rsidRPr="008B7F94" w:rsidRDefault="00D03C79" w:rsidP="00370D40">
            <w:pPr>
              <w:rPr>
                <w:i/>
                <w:iCs/>
                <w:lang w:val="en-US"/>
              </w:rPr>
            </w:pPr>
          </w:p>
        </w:tc>
      </w:tr>
      <w:tr w:rsidR="00D03C79" w:rsidRPr="008B7F94" w:rsidTr="00370D40">
        <w:tc>
          <w:tcPr>
            <w:tcW w:w="1716" w:type="dxa"/>
          </w:tcPr>
          <w:p w:rsidR="00D03C79" w:rsidRPr="008B7F94" w:rsidRDefault="00D03C79" w:rsidP="00370D40">
            <w:proofErr w:type="spellStart"/>
            <w:r w:rsidRPr="008B7F94">
              <w:rPr>
                <w:i/>
                <w:iCs/>
              </w:rPr>
              <w:t>k</w:t>
            </w:r>
            <w:r w:rsidRPr="008B7F94">
              <w:rPr>
                <w:i/>
                <w:iCs/>
                <w:vertAlign w:val="subscript"/>
              </w:rPr>
              <w:t>E</w:t>
            </w:r>
            <w:proofErr w:type="spellEnd"/>
            <w:r w:rsidRPr="008B7F94">
              <w:tab/>
            </w:r>
            <w:r w:rsidRPr="008B7F94">
              <w:tab/>
            </w:r>
          </w:p>
        </w:tc>
        <w:tc>
          <w:tcPr>
            <w:tcW w:w="5897" w:type="dxa"/>
          </w:tcPr>
          <w:p w:rsidR="00D03C79" w:rsidRPr="008B7F94" w:rsidRDefault="00D03C79" w:rsidP="00370D40">
            <w:pPr>
              <w:rPr>
                <w:lang w:val="en-US"/>
              </w:rPr>
            </w:pPr>
            <w:r w:rsidRPr="008B7F94">
              <w:rPr>
                <w:lang w:val="en-US"/>
              </w:rPr>
              <w:t>rate constant of PDE quenching</w:t>
            </w:r>
          </w:p>
        </w:tc>
        <w:tc>
          <w:tcPr>
            <w:tcW w:w="0" w:type="auto"/>
          </w:tcPr>
          <w:p w:rsidR="00D03C79" w:rsidRPr="008B7F94" w:rsidRDefault="00D03C79" w:rsidP="00370D40">
            <w:r w:rsidRPr="008B7F94">
              <w:t>s</w:t>
            </w:r>
            <w:r w:rsidRPr="008B7F94">
              <w:rPr>
                <w:vertAlign w:val="superscript"/>
              </w:rPr>
              <w:t>-1</w:t>
            </w:r>
          </w:p>
        </w:tc>
      </w:tr>
      <w:tr w:rsidR="00D03C79" w:rsidRPr="008B7F94" w:rsidTr="00370D40">
        <w:trPr>
          <w:cantSplit/>
        </w:trPr>
        <w:tc>
          <w:tcPr>
            <w:tcW w:w="8821" w:type="dxa"/>
            <w:gridSpan w:val="3"/>
          </w:tcPr>
          <w:p w:rsidR="00D03C79" w:rsidRPr="008B7F94" w:rsidRDefault="00D03C79" w:rsidP="00370D40">
            <w:pPr>
              <w:pStyle w:val="1"/>
              <w:spacing w:before="120"/>
              <w:rPr>
                <w:rFonts w:ascii="Times New Roman" w:hAnsi="Times New Roman"/>
                <w:b w:val="0"/>
                <w:color w:val="auto"/>
                <w:sz w:val="24"/>
                <w:szCs w:val="24"/>
              </w:rPr>
            </w:pPr>
            <w:r w:rsidRPr="008B7F94">
              <w:rPr>
                <w:rFonts w:ascii="Times New Roman" w:hAnsi="Times New Roman"/>
                <w:b w:val="0"/>
                <w:color w:val="auto"/>
                <w:sz w:val="24"/>
                <w:szCs w:val="24"/>
              </w:rPr>
              <w:t>cGMP turnover</w:t>
            </w:r>
          </w:p>
        </w:tc>
      </w:tr>
      <w:tr w:rsidR="00D03C79" w:rsidRPr="008B7F94" w:rsidTr="00370D40">
        <w:tc>
          <w:tcPr>
            <w:tcW w:w="1716" w:type="dxa"/>
          </w:tcPr>
          <w:p w:rsidR="00D03C79" w:rsidRPr="008B7F94" w:rsidRDefault="00D03C79" w:rsidP="00370D40">
            <w:r w:rsidRPr="008B7F94">
              <w:rPr>
                <w:i/>
                <w:iCs/>
              </w:rPr>
              <w:t>cG</w:t>
            </w:r>
            <w:r w:rsidRPr="008B7F94">
              <w:rPr>
                <w:i/>
                <w:iCs/>
              </w:rPr>
              <w:tab/>
            </w:r>
            <w:r w:rsidRPr="008B7F94">
              <w:rPr>
                <w:kern w:val="32"/>
              </w:rPr>
              <w:tab/>
            </w:r>
          </w:p>
        </w:tc>
        <w:tc>
          <w:tcPr>
            <w:tcW w:w="5897" w:type="dxa"/>
          </w:tcPr>
          <w:p w:rsidR="00D03C79" w:rsidRPr="008B7F94" w:rsidRDefault="00D03C79" w:rsidP="00370D40">
            <w:pPr>
              <w:rPr>
                <w:lang w:val="en-US"/>
              </w:rPr>
            </w:pPr>
            <w:r w:rsidRPr="008B7F94">
              <w:rPr>
                <w:kern w:val="32"/>
                <w:lang w:val="en-US"/>
              </w:rPr>
              <w:t>concentration of free cGMP</w:t>
            </w:r>
          </w:p>
        </w:tc>
        <w:tc>
          <w:tcPr>
            <w:tcW w:w="0" w:type="auto"/>
          </w:tcPr>
          <w:p w:rsidR="00D03C79" w:rsidRPr="008B7F94" w:rsidRDefault="00D03C79" w:rsidP="00370D40">
            <w:r w:rsidRPr="008B7F94">
              <w:rPr>
                <w:rFonts w:ascii="Symbol" w:hAnsi="Symbol"/>
                <w:lang w:val="en-US"/>
              </w:rPr>
              <w:t></w:t>
            </w:r>
            <w:r w:rsidRPr="008B7F94">
              <w:rPr>
                <w:kern w:val="32"/>
              </w:rPr>
              <w:t>M</w:t>
            </w:r>
          </w:p>
        </w:tc>
      </w:tr>
      <w:tr w:rsidR="00D03C79" w:rsidRPr="008B7F94" w:rsidTr="00370D40">
        <w:tc>
          <w:tcPr>
            <w:tcW w:w="1716" w:type="dxa"/>
          </w:tcPr>
          <w:p w:rsidR="00D03C79" w:rsidRPr="008B7F94" w:rsidRDefault="00D03C79" w:rsidP="00370D40">
            <w:r w:rsidRPr="008B7F94">
              <w:rPr>
                <w:rFonts w:ascii="Symbol" w:hAnsi="Symbol"/>
                <w:i/>
                <w:iCs/>
              </w:rPr>
              <w:t></w:t>
            </w:r>
            <w:r w:rsidRPr="008B7F94">
              <w:rPr>
                <w:vertAlign w:val="subscript"/>
              </w:rPr>
              <w:t>min</w:t>
            </w:r>
            <w:r w:rsidRPr="008B7F94">
              <w:rPr>
                <w:vertAlign w:val="subscript"/>
              </w:rPr>
              <w:tab/>
            </w:r>
            <w:r w:rsidRPr="008B7F94">
              <w:tab/>
            </w:r>
          </w:p>
        </w:tc>
        <w:tc>
          <w:tcPr>
            <w:tcW w:w="5897" w:type="dxa"/>
          </w:tcPr>
          <w:p w:rsidR="00D03C79" w:rsidRPr="008B7F94" w:rsidRDefault="00D03C79" w:rsidP="00370D40">
            <w:pPr>
              <w:rPr>
                <w:lang w:val="en-US"/>
              </w:rPr>
            </w:pPr>
            <w:r w:rsidRPr="008B7F94">
              <w:rPr>
                <w:lang w:val="en-US"/>
              </w:rPr>
              <w:t xml:space="preserve">minimum rate of cGMP synthesis at high </w:t>
            </w:r>
            <w:r w:rsidRPr="008B7F94">
              <w:rPr>
                <w:i/>
                <w:lang w:val="en-US"/>
              </w:rPr>
              <w:t>Ca</w:t>
            </w:r>
            <w:r w:rsidRPr="008B7F94">
              <w:rPr>
                <w:lang w:val="en-US"/>
              </w:rPr>
              <w:tab/>
            </w:r>
          </w:p>
        </w:tc>
        <w:tc>
          <w:tcPr>
            <w:tcW w:w="0" w:type="auto"/>
          </w:tcPr>
          <w:p w:rsidR="00D03C79" w:rsidRPr="008B7F94" w:rsidRDefault="00D03C79" w:rsidP="00370D40">
            <w:r w:rsidRPr="008B7F94">
              <w:rPr>
                <w:rFonts w:ascii="Symbol" w:hAnsi="Symbol"/>
                <w:lang w:val="en-US"/>
              </w:rPr>
              <w:t></w:t>
            </w:r>
            <w:r w:rsidRPr="008B7F94">
              <w:t>M</w:t>
            </w:r>
            <w:r w:rsidRPr="008B7F94">
              <w:rPr>
                <w:vertAlign w:val="superscript"/>
              </w:rPr>
              <w:t>.</w:t>
            </w:r>
            <w:r w:rsidRPr="008B7F94">
              <w:t>s</w:t>
            </w:r>
            <w:r w:rsidRPr="008B7F94">
              <w:rPr>
                <w:vertAlign w:val="superscript"/>
              </w:rPr>
              <w:t>-1</w:t>
            </w:r>
          </w:p>
        </w:tc>
      </w:tr>
      <w:tr w:rsidR="00D03C79" w:rsidRPr="008B7F94" w:rsidTr="00370D40">
        <w:tc>
          <w:tcPr>
            <w:tcW w:w="1716" w:type="dxa"/>
          </w:tcPr>
          <w:p w:rsidR="00D03C79" w:rsidRPr="008B7F94" w:rsidRDefault="00D03C79" w:rsidP="00370D40">
            <w:r w:rsidRPr="008B7F94">
              <w:rPr>
                <w:rFonts w:ascii="Symbol" w:hAnsi="Symbol"/>
                <w:i/>
                <w:iCs/>
              </w:rPr>
              <w:t></w:t>
            </w:r>
            <w:r w:rsidRPr="008B7F94">
              <w:rPr>
                <w:vertAlign w:val="subscript"/>
              </w:rPr>
              <w:t>max</w:t>
            </w:r>
            <w:r w:rsidRPr="008B7F94">
              <w:tab/>
            </w:r>
            <w:r w:rsidRPr="008B7F94">
              <w:tab/>
            </w:r>
          </w:p>
        </w:tc>
        <w:tc>
          <w:tcPr>
            <w:tcW w:w="5897" w:type="dxa"/>
          </w:tcPr>
          <w:p w:rsidR="00D03C79" w:rsidRPr="008B7F94" w:rsidRDefault="00D03C79" w:rsidP="00370D40">
            <w:pPr>
              <w:rPr>
                <w:lang w:val="en-US"/>
              </w:rPr>
            </w:pPr>
            <w:r w:rsidRPr="008B7F94">
              <w:rPr>
                <w:lang w:val="en-US"/>
              </w:rPr>
              <w:t xml:space="preserve">maximum rate of cGMP synthesis at zero </w:t>
            </w:r>
            <w:r w:rsidRPr="008B7F94">
              <w:rPr>
                <w:i/>
                <w:lang w:val="en-US"/>
              </w:rPr>
              <w:t>Ca</w:t>
            </w:r>
            <w:r w:rsidRPr="008B7F94">
              <w:rPr>
                <w:lang w:val="en-US"/>
              </w:rPr>
              <w:tab/>
            </w:r>
          </w:p>
        </w:tc>
        <w:tc>
          <w:tcPr>
            <w:tcW w:w="0" w:type="auto"/>
          </w:tcPr>
          <w:p w:rsidR="00D03C79" w:rsidRPr="008B7F94" w:rsidRDefault="00D03C79" w:rsidP="00370D40">
            <w:r w:rsidRPr="008B7F94">
              <w:rPr>
                <w:rFonts w:ascii="Symbol" w:hAnsi="Symbol"/>
                <w:lang w:val="en-US"/>
              </w:rPr>
              <w:t></w:t>
            </w:r>
            <w:r w:rsidRPr="008B7F94">
              <w:t>M</w:t>
            </w:r>
            <w:r w:rsidRPr="008B7F94">
              <w:rPr>
                <w:vertAlign w:val="superscript"/>
              </w:rPr>
              <w:t>.</w:t>
            </w:r>
            <w:r w:rsidRPr="008B7F94">
              <w:t>s</w:t>
            </w:r>
            <w:r w:rsidRPr="008B7F94">
              <w:rPr>
                <w:vertAlign w:val="superscript"/>
              </w:rPr>
              <w:t>-1</w:t>
            </w:r>
          </w:p>
        </w:tc>
      </w:tr>
      <w:tr w:rsidR="00D03C79" w:rsidRPr="008B7F94" w:rsidTr="00370D40">
        <w:tc>
          <w:tcPr>
            <w:tcW w:w="1716" w:type="dxa"/>
          </w:tcPr>
          <w:p w:rsidR="00D03C79" w:rsidRPr="008B7F94" w:rsidRDefault="00D03C79" w:rsidP="00370D40">
            <w:r w:rsidRPr="008B7F94">
              <w:rPr>
                <w:i/>
                <w:iCs/>
              </w:rPr>
              <w:t>K</w:t>
            </w:r>
            <w:r w:rsidRPr="008B7F94">
              <w:rPr>
                <w:i/>
                <w:iCs/>
                <w:vertAlign w:val="subscript"/>
              </w:rPr>
              <w:t>cyc</w:t>
            </w:r>
            <w:r w:rsidRPr="008B7F94">
              <w:tab/>
            </w:r>
            <w:r w:rsidRPr="008B7F94">
              <w:tab/>
            </w:r>
          </w:p>
        </w:tc>
        <w:tc>
          <w:tcPr>
            <w:tcW w:w="5897" w:type="dxa"/>
          </w:tcPr>
          <w:p w:rsidR="00D03C79" w:rsidRPr="008B7F94" w:rsidRDefault="00D03C79" w:rsidP="00370D40">
            <w:pPr>
              <w:rPr>
                <w:lang w:val="en-US"/>
              </w:rPr>
            </w:pPr>
            <w:r w:rsidRPr="008B7F94">
              <w:rPr>
                <w:lang w:val="en-US"/>
              </w:rPr>
              <w:t xml:space="preserve">half-saturating </w:t>
            </w:r>
            <w:r w:rsidRPr="008B7F94">
              <w:rPr>
                <w:i/>
                <w:iCs/>
                <w:lang w:val="en-US"/>
              </w:rPr>
              <w:t>Ca</w:t>
            </w:r>
            <w:r w:rsidRPr="008B7F94">
              <w:rPr>
                <w:lang w:val="en-US"/>
              </w:rPr>
              <w:t xml:space="preserve"> for regulation of </w:t>
            </w:r>
            <w:r w:rsidRPr="008B7F94">
              <w:rPr>
                <w:rFonts w:ascii="Symbol" w:hAnsi="Symbol"/>
                <w:i/>
              </w:rPr>
              <w:t></w:t>
            </w:r>
          </w:p>
        </w:tc>
        <w:tc>
          <w:tcPr>
            <w:tcW w:w="0" w:type="auto"/>
          </w:tcPr>
          <w:p w:rsidR="00D03C79" w:rsidRPr="008B7F94" w:rsidRDefault="00D03C79" w:rsidP="00370D40">
            <w:r w:rsidRPr="008B7F94">
              <w:rPr>
                <w:rFonts w:ascii="Symbol" w:hAnsi="Symbol"/>
                <w:lang w:val="en-US"/>
              </w:rPr>
              <w:t></w:t>
            </w:r>
            <w:r w:rsidRPr="008B7F94">
              <w:t>M</w:t>
            </w:r>
          </w:p>
        </w:tc>
      </w:tr>
      <w:tr w:rsidR="00D03C79" w:rsidRPr="001B084C" w:rsidTr="00370D40">
        <w:tc>
          <w:tcPr>
            <w:tcW w:w="1716" w:type="dxa"/>
          </w:tcPr>
          <w:p w:rsidR="00D03C79" w:rsidRPr="008B7F94" w:rsidRDefault="00D03C79" w:rsidP="00370D40">
            <w:r w:rsidRPr="008B7F94">
              <w:rPr>
                <w:i/>
                <w:iCs/>
              </w:rPr>
              <w:t>n</w:t>
            </w:r>
            <w:r w:rsidRPr="008B7F94">
              <w:rPr>
                <w:i/>
                <w:iCs/>
                <w:vertAlign w:val="subscript"/>
              </w:rPr>
              <w:t>cyc</w:t>
            </w:r>
            <w:r w:rsidRPr="008B7F94">
              <w:tab/>
            </w:r>
          </w:p>
        </w:tc>
        <w:tc>
          <w:tcPr>
            <w:tcW w:w="5897" w:type="dxa"/>
          </w:tcPr>
          <w:p w:rsidR="00D03C79" w:rsidRPr="008B7F94" w:rsidRDefault="00D03C79" w:rsidP="00370D40">
            <w:pPr>
              <w:rPr>
                <w:lang w:val="en-US"/>
              </w:rPr>
            </w:pPr>
            <w:r w:rsidRPr="008B7F94">
              <w:rPr>
                <w:lang w:val="en-US"/>
              </w:rPr>
              <w:t xml:space="preserve">Hill’s coefficient for regulation of </w:t>
            </w:r>
            <w:r w:rsidRPr="008B7F94">
              <w:rPr>
                <w:rFonts w:ascii="Symbol" w:hAnsi="Symbol"/>
                <w:i/>
              </w:rPr>
              <w:t></w:t>
            </w:r>
            <w:r w:rsidRPr="008B7F94">
              <w:rPr>
                <w:lang w:val="en-US"/>
              </w:rPr>
              <w:t xml:space="preserve"> by</w:t>
            </w:r>
            <w:r w:rsidRPr="008B7F94">
              <w:rPr>
                <w:i/>
                <w:iCs/>
                <w:lang w:val="en-US"/>
              </w:rPr>
              <w:t xml:space="preserve"> Ca</w:t>
            </w:r>
          </w:p>
        </w:tc>
        <w:tc>
          <w:tcPr>
            <w:tcW w:w="0" w:type="auto"/>
          </w:tcPr>
          <w:p w:rsidR="00D03C79" w:rsidRPr="008B7F94" w:rsidRDefault="00D03C79" w:rsidP="00370D40">
            <w:pPr>
              <w:rPr>
                <w:lang w:val="en-US"/>
              </w:rPr>
            </w:pPr>
          </w:p>
        </w:tc>
      </w:tr>
      <w:tr w:rsidR="00D03C79" w:rsidRPr="008B7F94" w:rsidTr="00370D40">
        <w:tc>
          <w:tcPr>
            <w:tcW w:w="1716" w:type="dxa"/>
          </w:tcPr>
          <w:p w:rsidR="00D03C79" w:rsidRPr="008B7F94" w:rsidRDefault="00D03C79" w:rsidP="00370D40">
            <w:r w:rsidRPr="008B7F94">
              <w:rPr>
                <w:rFonts w:ascii="Symbol" w:hAnsi="Symbol"/>
                <w:i/>
                <w:iCs/>
              </w:rPr>
              <w:t></w:t>
            </w:r>
            <w:r w:rsidRPr="008B7F94">
              <w:rPr>
                <w:i/>
                <w:iCs/>
                <w:vertAlign w:val="subscript"/>
                <w:lang w:val="en-US"/>
              </w:rPr>
              <w:t>d</w:t>
            </w:r>
            <w:proofErr w:type="spellStart"/>
            <w:r w:rsidRPr="008B7F94">
              <w:rPr>
                <w:i/>
                <w:iCs/>
                <w:vertAlign w:val="subscript"/>
              </w:rPr>
              <w:t>ark</w:t>
            </w:r>
            <w:proofErr w:type="spellEnd"/>
            <w:r w:rsidRPr="008B7F94">
              <w:tab/>
            </w:r>
            <w:r w:rsidRPr="008B7F94">
              <w:tab/>
            </w:r>
          </w:p>
        </w:tc>
        <w:tc>
          <w:tcPr>
            <w:tcW w:w="5897" w:type="dxa"/>
          </w:tcPr>
          <w:p w:rsidR="00D03C79" w:rsidRPr="008B7F94" w:rsidRDefault="00D03C79" w:rsidP="00370D40">
            <w:pPr>
              <w:rPr>
                <w:lang w:val="en-US"/>
              </w:rPr>
            </w:pPr>
            <w:r w:rsidRPr="008B7F94">
              <w:rPr>
                <w:lang w:val="en-US"/>
              </w:rPr>
              <w:t>maximum rate of cGMP hydrolysis in darkness at high</w:t>
            </w:r>
            <w:r w:rsidRPr="008B7F94">
              <w:rPr>
                <w:i/>
                <w:lang w:val="en-US"/>
              </w:rPr>
              <w:t xml:space="preserve"> </w:t>
            </w:r>
            <w:proofErr w:type="spellStart"/>
            <w:r w:rsidRPr="008B7F94">
              <w:rPr>
                <w:i/>
                <w:lang w:val="en-US"/>
              </w:rPr>
              <w:t>cG</w:t>
            </w:r>
            <w:proofErr w:type="spellEnd"/>
          </w:p>
        </w:tc>
        <w:tc>
          <w:tcPr>
            <w:tcW w:w="0" w:type="auto"/>
          </w:tcPr>
          <w:p w:rsidR="00D03C79" w:rsidRPr="008B7F94" w:rsidRDefault="00D03C79" w:rsidP="00370D40">
            <w:r w:rsidRPr="008B7F94">
              <w:rPr>
                <w:rFonts w:ascii="Symbol" w:hAnsi="Symbol"/>
                <w:lang w:val="en-US"/>
              </w:rPr>
              <w:t></w:t>
            </w:r>
            <w:r w:rsidRPr="008B7F94">
              <w:t>M</w:t>
            </w:r>
            <w:r w:rsidRPr="008B7F94">
              <w:rPr>
                <w:vertAlign w:val="superscript"/>
              </w:rPr>
              <w:t>.</w:t>
            </w:r>
            <w:r w:rsidRPr="008B7F94">
              <w:t>s</w:t>
            </w:r>
            <w:r w:rsidRPr="008B7F94">
              <w:rPr>
                <w:vertAlign w:val="superscript"/>
              </w:rPr>
              <w:t>-1</w:t>
            </w:r>
          </w:p>
        </w:tc>
      </w:tr>
      <w:tr w:rsidR="00D03C79" w:rsidRPr="008B7F94" w:rsidTr="00370D40">
        <w:tc>
          <w:tcPr>
            <w:tcW w:w="1716" w:type="dxa"/>
          </w:tcPr>
          <w:p w:rsidR="00D03C79" w:rsidRPr="008B7F94" w:rsidRDefault="00D03C79" w:rsidP="00370D40">
            <w:r w:rsidRPr="008B7F94">
              <w:rPr>
                <w:i/>
                <w:iCs/>
              </w:rPr>
              <w:t>k</w:t>
            </w:r>
            <w:r w:rsidRPr="008B7F94">
              <w:rPr>
                <w:i/>
                <w:iCs/>
                <w:vertAlign w:val="subscript"/>
              </w:rPr>
              <w:t>cat</w:t>
            </w:r>
            <w:r w:rsidRPr="008B7F94">
              <w:tab/>
            </w:r>
            <w:r w:rsidRPr="008B7F94">
              <w:tab/>
            </w:r>
          </w:p>
        </w:tc>
        <w:tc>
          <w:tcPr>
            <w:tcW w:w="5897" w:type="dxa"/>
          </w:tcPr>
          <w:p w:rsidR="00D03C79" w:rsidRPr="008B7F94" w:rsidRDefault="00D03C79" w:rsidP="00370D40">
            <w:pPr>
              <w:rPr>
                <w:lang w:val="en-US"/>
              </w:rPr>
            </w:pPr>
            <w:r w:rsidRPr="008B7F94">
              <w:rPr>
                <w:lang w:val="en-US"/>
              </w:rPr>
              <w:t>catalytic activity of single PDE subunit</w:t>
            </w:r>
            <w:r w:rsidRPr="008B7F94">
              <w:rPr>
                <w:lang w:val="en-US"/>
              </w:rPr>
              <w:tab/>
            </w:r>
          </w:p>
        </w:tc>
        <w:tc>
          <w:tcPr>
            <w:tcW w:w="0" w:type="auto"/>
          </w:tcPr>
          <w:p w:rsidR="00D03C79" w:rsidRPr="008B7F94" w:rsidRDefault="00D03C79" w:rsidP="00370D40">
            <w:r w:rsidRPr="008B7F94">
              <w:t>s</w:t>
            </w:r>
            <w:r w:rsidRPr="008B7F94">
              <w:rPr>
                <w:vertAlign w:val="superscript"/>
              </w:rPr>
              <w:t>-1</w:t>
            </w:r>
          </w:p>
        </w:tc>
      </w:tr>
      <w:tr w:rsidR="00D03C79" w:rsidRPr="008B7F94" w:rsidTr="00370D40">
        <w:tc>
          <w:tcPr>
            <w:tcW w:w="1716" w:type="dxa"/>
          </w:tcPr>
          <w:p w:rsidR="00D03C79" w:rsidRPr="008B7F94" w:rsidRDefault="00D03C79" w:rsidP="00370D40">
            <w:r w:rsidRPr="008B7F94">
              <w:rPr>
                <w:i/>
                <w:iCs/>
              </w:rPr>
              <w:t>K</w:t>
            </w:r>
            <w:r w:rsidRPr="008B7F94">
              <w:rPr>
                <w:i/>
                <w:iCs/>
                <w:vertAlign w:val="subscript"/>
                <w:lang w:val="en-US"/>
              </w:rPr>
              <w:t>M</w:t>
            </w:r>
            <w:r w:rsidRPr="008B7F94">
              <w:tab/>
            </w:r>
            <w:r w:rsidRPr="008B7F94">
              <w:tab/>
            </w:r>
          </w:p>
        </w:tc>
        <w:tc>
          <w:tcPr>
            <w:tcW w:w="5897" w:type="dxa"/>
          </w:tcPr>
          <w:p w:rsidR="00D03C79" w:rsidRPr="008B7F94" w:rsidRDefault="00D03C79" w:rsidP="00370D40">
            <w:r w:rsidRPr="008B7F94">
              <w:t>PDE’s Michaelis constant</w:t>
            </w:r>
          </w:p>
        </w:tc>
        <w:tc>
          <w:tcPr>
            <w:tcW w:w="0" w:type="auto"/>
          </w:tcPr>
          <w:p w:rsidR="00D03C79" w:rsidRPr="008B7F94" w:rsidRDefault="00D03C79" w:rsidP="00370D40">
            <w:r w:rsidRPr="008B7F94">
              <w:rPr>
                <w:rFonts w:ascii="Symbol" w:hAnsi="Symbol"/>
                <w:lang w:val="en-US"/>
              </w:rPr>
              <w:t></w:t>
            </w:r>
            <w:r w:rsidRPr="008B7F94">
              <w:t>M</w:t>
            </w:r>
          </w:p>
        </w:tc>
      </w:tr>
      <w:tr w:rsidR="00D03C79" w:rsidRPr="008B7F94" w:rsidTr="00370D40">
        <w:trPr>
          <w:cantSplit/>
        </w:trPr>
        <w:tc>
          <w:tcPr>
            <w:tcW w:w="8821" w:type="dxa"/>
            <w:gridSpan w:val="3"/>
          </w:tcPr>
          <w:p w:rsidR="00D03C79" w:rsidRPr="008B7F94" w:rsidRDefault="00D03C79" w:rsidP="00370D40">
            <w:pPr>
              <w:pStyle w:val="1"/>
              <w:spacing w:before="120"/>
              <w:rPr>
                <w:rFonts w:ascii="Times New Roman" w:hAnsi="Times New Roman"/>
                <w:b w:val="0"/>
                <w:color w:val="auto"/>
                <w:sz w:val="24"/>
                <w:szCs w:val="24"/>
              </w:rPr>
            </w:pPr>
            <w:r w:rsidRPr="008B7F94">
              <w:rPr>
                <w:rFonts w:ascii="Times New Roman" w:hAnsi="Times New Roman"/>
                <w:b w:val="0"/>
                <w:color w:val="auto"/>
                <w:sz w:val="24"/>
                <w:szCs w:val="24"/>
              </w:rPr>
              <w:t>Photocurrent control</w:t>
            </w:r>
          </w:p>
        </w:tc>
      </w:tr>
      <w:tr w:rsidR="00D03C79" w:rsidRPr="008B7F94" w:rsidTr="00370D40">
        <w:tc>
          <w:tcPr>
            <w:tcW w:w="1716" w:type="dxa"/>
          </w:tcPr>
          <w:p w:rsidR="00D03C79" w:rsidRPr="008B7F94" w:rsidRDefault="00D03C79" w:rsidP="00370D40">
            <w:pPr>
              <w:rPr>
                <w:i/>
                <w:iCs/>
              </w:rPr>
            </w:pPr>
            <w:r w:rsidRPr="008B7F94">
              <w:rPr>
                <w:i/>
                <w:iCs/>
              </w:rPr>
              <w:t>j</w:t>
            </w:r>
            <w:r w:rsidRPr="008B7F94">
              <w:rPr>
                <w:vertAlign w:val="subscript"/>
              </w:rPr>
              <w:t>dark</w:t>
            </w:r>
          </w:p>
        </w:tc>
        <w:tc>
          <w:tcPr>
            <w:tcW w:w="5897" w:type="dxa"/>
          </w:tcPr>
          <w:p w:rsidR="00D03C79" w:rsidRPr="008B7F94" w:rsidRDefault="00D03C79" w:rsidP="00370D40">
            <w:r w:rsidRPr="008B7F94">
              <w:rPr>
                <w:lang w:val="en-US"/>
              </w:rPr>
              <w:t xml:space="preserve">total </w:t>
            </w:r>
            <w:r w:rsidRPr="008B7F94">
              <w:t>dark current</w:t>
            </w:r>
          </w:p>
        </w:tc>
        <w:tc>
          <w:tcPr>
            <w:tcW w:w="0" w:type="auto"/>
          </w:tcPr>
          <w:p w:rsidR="00D03C79" w:rsidRPr="008B7F94" w:rsidRDefault="00D03C79" w:rsidP="00370D40">
            <w:r w:rsidRPr="008B7F94">
              <w:t>A</w:t>
            </w:r>
          </w:p>
        </w:tc>
      </w:tr>
      <w:tr w:rsidR="00D03C79" w:rsidRPr="008B7F94" w:rsidTr="00370D40">
        <w:tc>
          <w:tcPr>
            <w:tcW w:w="1716" w:type="dxa"/>
          </w:tcPr>
          <w:p w:rsidR="00D03C79" w:rsidRPr="008B7F94" w:rsidRDefault="00D03C79" w:rsidP="00370D40">
            <w:pPr>
              <w:rPr>
                <w:i/>
                <w:iCs/>
              </w:rPr>
            </w:pPr>
            <w:r w:rsidRPr="008B7F94">
              <w:rPr>
                <w:i/>
                <w:iCs/>
              </w:rPr>
              <w:t>j</w:t>
            </w:r>
            <w:r w:rsidRPr="008B7F94">
              <w:rPr>
                <w:i/>
                <w:iCs/>
                <w:vertAlign w:val="subscript"/>
              </w:rPr>
              <w:t>cG</w:t>
            </w:r>
            <w:r w:rsidRPr="008B7F94">
              <w:rPr>
                <w:vertAlign w:val="subscript"/>
              </w:rPr>
              <w:t>dark</w:t>
            </w:r>
          </w:p>
        </w:tc>
        <w:tc>
          <w:tcPr>
            <w:tcW w:w="5897" w:type="dxa"/>
          </w:tcPr>
          <w:p w:rsidR="00D03C79" w:rsidRPr="008B7F94" w:rsidRDefault="00D03C79" w:rsidP="00370D40">
            <w:pPr>
              <w:rPr>
                <w:iCs/>
                <w:lang w:val="en-US"/>
              </w:rPr>
            </w:pPr>
            <w:r w:rsidRPr="008B7F94">
              <w:rPr>
                <w:iCs/>
                <w:lang w:val="en-US"/>
              </w:rPr>
              <w:t xml:space="preserve">dark current through the </w:t>
            </w:r>
            <w:proofErr w:type="spellStart"/>
            <w:r w:rsidRPr="008B7F94">
              <w:rPr>
                <w:iCs/>
                <w:lang w:val="en-US"/>
              </w:rPr>
              <w:t>cCNG</w:t>
            </w:r>
            <w:proofErr w:type="spellEnd"/>
            <w:r w:rsidRPr="008B7F94">
              <w:rPr>
                <w:iCs/>
                <w:lang w:val="en-US"/>
              </w:rPr>
              <w:t xml:space="preserve"> channels</w:t>
            </w:r>
          </w:p>
        </w:tc>
        <w:tc>
          <w:tcPr>
            <w:tcW w:w="0" w:type="auto"/>
          </w:tcPr>
          <w:p w:rsidR="00D03C79" w:rsidRPr="008B7F94" w:rsidRDefault="00D03C79" w:rsidP="00370D40">
            <w:pPr>
              <w:rPr>
                <w:lang w:val="en-US"/>
              </w:rPr>
            </w:pPr>
            <w:r w:rsidRPr="008B7F94">
              <w:rPr>
                <w:lang w:val="en-US"/>
              </w:rPr>
              <w:t>A</w:t>
            </w:r>
          </w:p>
        </w:tc>
      </w:tr>
      <w:tr w:rsidR="00D03C79" w:rsidRPr="008B7F94" w:rsidTr="00370D40">
        <w:tc>
          <w:tcPr>
            <w:tcW w:w="1716" w:type="dxa"/>
          </w:tcPr>
          <w:p w:rsidR="00D03C79" w:rsidRPr="008B7F94" w:rsidRDefault="00D03C79" w:rsidP="00370D40">
            <w:r w:rsidRPr="008B7F94">
              <w:rPr>
                <w:i/>
                <w:iCs/>
              </w:rPr>
              <w:t>j</w:t>
            </w:r>
            <w:r w:rsidRPr="008B7F94">
              <w:rPr>
                <w:i/>
                <w:iCs/>
                <w:vertAlign w:val="subscript"/>
              </w:rPr>
              <w:t>cG</w:t>
            </w:r>
            <w:r w:rsidRPr="008B7F94">
              <w:rPr>
                <w:vertAlign w:val="subscript"/>
              </w:rPr>
              <w:t>max</w:t>
            </w:r>
            <w:r w:rsidRPr="008B7F94">
              <w:rPr>
                <w:vertAlign w:val="subscript"/>
              </w:rPr>
              <w:tab/>
            </w:r>
            <w:r w:rsidRPr="008B7F94">
              <w:tab/>
            </w:r>
          </w:p>
        </w:tc>
        <w:tc>
          <w:tcPr>
            <w:tcW w:w="5897" w:type="dxa"/>
          </w:tcPr>
          <w:p w:rsidR="00D03C79" w:rsidRPr="008B7F94" w:rsidRDefault="00D03C79" w:rsidP="00370D40">
            <w:pPr>
              <w:rPr>
                <w:lang w:val="en-US"/>
              </w:rPr>
            </w:pPr>
            <w:r w:rsidRPr="008B7F94">
              <w:rPr>
                <w:lang w:val="en-US"/>
              </w:rPr>
              <w:t xml:space="preserve">maximum </w:t>
            </w:r>
            <w:r w:rsidRPr="008B7F94">
              <w:rPr>
                <w:iCs/>
                <w:lang w:val="en-US"/>
              </w:rPr>
              <w:t>current through the channels</w:t>
            </w:r>
            <w:r w:rsidRPr="008B7F94">
              <w:rPr>
                <w:lang w:val="en-US"/>
              </w:rPr>
              <w:t xml:space="preserve"> at saturating </w:t>
            </w:r>
            <w:proofErr w:type="spellStart"/>
            <w:r w:rsidRPr="008B7F94">
              <w:rPr>
                <w:i/>
                <w:iCs/>
                <w:lang w:val="en-US"/>
              </w:rPr>
              <w:t>cG</w:t>
            </w:r>
            <w:proofErr w:type="spellEnd"/>
          </w:p>
        </w:tc>
        <w:tc>
          <w:tcPr>
            <w:tcW w:w="0" w:type="auto"/>
          </w:tcPr>
          <w:p w:rsidR="00D03C79" w:rsidRPr="008B7F94" w:rsidRDefault="00D03C79" w:rsidP="00370D40">
            <w:r w:rsidRPr="008B7F94">
              <w:t>A</w:t>
            </w:r>
          </w:p>
        </w:tc>
      </w:tr>
      <w:tr w:rsidR="00D03C79" w:rsidRPr="001B084C" w:rsidTr="00370D40">
        <w:tc>
          <w:tcPr>
            <w:tcW w:w="1716" w:type="dxa"/>
          </w:tcPr>
          <w:p w:rsidR="00D03C79" w:rsidRPr="008B7F94" w:rsidRDefault="00D03C79" w:rsidP="00370D40">
            <w:r w:rsidRPr="008B7F94">
              <w:rPr>
                <w:i/>
                <w:iCs/>
              </w:rPr>
              <w:t>n</w:t>
            </w:r>
            <w:r w:rsidRPr="008B7F94">
              <w:rPr>
                <w:i/>
                <w:iCs/>
                <w:vertAlign w:val="subscript"/>
              </w:rPr>
              <w:t>cG</w:t>
            </w:r>
            <w:r w:rsidRPr="008B7F94">
              <w:rPr>
                <w:i/>
                <w:iCs/>
                <w:vertAlign w:val="subscript"/>
              </w:rPr>
              <w:tab/>
            </w:r>
          </w:p>
        </w:tc>
        <w:tc>
          <w:tcPr>
            <w:tcW w:w="5897" w:type="dxa"/>
          </w:tcPr>
          <w:p w:rsidR="00D03C79" w:rsidRPr="008B7F94" w:rsidRDefault="00D03C79" w:rsidP="00370D40">
            <w:pPr>
              <w:rPr>
                <w:lang w:val="en-US"/>
              </w:rPr>
            </w:pPr>
            <w:r w:rsidRPr="008B7F94">
              <w:rPr>
                <w:lang w:val="en-US"/>
              </w:rPr>
              <w:t>Hill’s coefficient of CNG channels activation by cGMP</w:t>
            </w:r>
          </w:p>
        </w:tc>
        <w:tc>
          <w:tcPr>
            <w:tcW w:w="0" w:type="auto"/>
          </w:tcPr>
          <w:p w:rsidR="00D03C79" w:rsidRPr="008B7F94" w:rsidRDefault="00D03C79" w:rsidP="00370D40">
            <w:pPr>
              <w:rPr>
                <w:lang w:val="en-US"/>
              </w:rPr>
            </w:pPr>
          </w:p>
        </w:tc>
      </w:tr>
      <w:tr w:rsidR="00D03C79" w:rsidRPr="008B7F94" w:rsidTr="00370D40">
        <w:tc>
          <w:tcPr>
            <w:tcW w:w="1716" w:type="dxa"/>
          </w:tcPr>
          <w:p w:rsidR="00D03C79" w:rsidRPr="008B7F94" w:rsidRDefault="00D03C79" w:rsidP="00370D40">
            <w:proofErr w:type="spellStart"/>
            <w:r w:rsidRPr="008B7F94">
              <w:rPr>
                <w:i/>
                <w:iCs/>
              </w:rPr>
              <w:t>K</w:t>
            </w:r>
            <w:r w:rsidRPr="008B7F94">
              <w:rPr>
                <w:i/>
                <w:iCs/>
                <w:vertAlign w:val="subscript"/>
              </w:rPr>
              <w:t>cG</w:t>
            </w:r>
            <w:proofErr w:type="spellEnd"/>
            <w:r w:rsidRPr="008B7F94">
              <w:rPr>
                <w:i/>
                <w:iCs/>
                <w:vertAlign w:val="subscript"/>
                <w:lang w:val="en-US"/>
              </w:rPr>
              <w:t>min</w:t>
            </w:r>
            <w:r w:rsidRPr="008B7F94">
              <w:tab/>
            </w:r>
          </w:p>
        </w:tc>
        <w:tc>
          <w:tcPr>
            <w:tcW w:w="5897" w:type="dxa"/>
          </w:tcPr>
          <w:p w:rsidR="00D03C79" w:rsidRPr="008B7F94" w:rsidRDefault="00D03C79" w:rsidP="00370D40">
            <w:pPr>
              <w:rPr>
                <w:lang w:val="en-US"/>
              </w:rPr>
            </w:pPr>
            <w:r w:rsidRPr="008B7F94">
              <w:rPr>
                <w:lang w:val="en-US"/>
              </w:rPr>
              <w:t xml:space="preserve">half-saturating </w:t>
            </w:r>
            <w:proofErr w:type="spellStart"/>
            <w:r w:rsidRPr="008B7F94">
              <w:rPr>
                <w:i/>
                <w:iCs/>
                <w:lang w:val="en-US"/>
              </w:rPr>
              <w:t>cG</w:t>
            </w:r>
            <w:proofErr w:type="spellEnd"/>
            <w:r w:rsidRPr="008B7F94">
              <w:rPr>
                <w:lang w:val="en-US"/>
              </w:rPr>
              <w:t xml:space="preserve"> for channels’ activation at low </w:t>
            </w:r>
            <w:r w:rsidRPr="008B7F94">
              <w:rPr>
                <w:i/>
                <w:lang w:val="en-US"/>
              </w:rPr>
              <w:t>Ca</w:t>
            </w:r>
          </w:p>
        </w:tc>
        <w:tc>
          <w:tcPr>
            <w:tcW w:w="0" w:type="auto"/>
          </w:tcPr>
          <w:p w:rsidR="00D03C79" w:rsidRPr="008B7F94" w:rsidRDefault="00D03C79" w:rsidP="00370D40">
            <w:r w:rsidRPr="008B7F94">
              <w:rPr>
                <w:rFonts w:ascii="Symbol" w:hAnsi="Symbol"/>
                <w:lang w:val="en-US"/>
              </w:rPr>
              <w:t></w:t>
            </w:r>
            <w:r w:rsidRPr="008B7F94">
              <w:t>M</w:t>
            </w:r>
          </w:p>
        </w:tc>
      </w:tr>
      <w:tr w:rsidR="00D03C79" w:rsidRPr="001B084C" w:rsidTr="00370D40">
        <w:tc>
          <w:tcPr>
            <w:tcW w:w="1716" w:type="dxa"/>
          </w:tcPr>
          <w:p w:rsidR="00D03C79" w:rsidRPr="008B7F94" w:rsidRDefault="00D03C79" w:rsidP="00370D40">
            <w:r w:rsidRPr="008B7F94">
              <w:rPr>
                <w:i/>
                <w:iCs/>
              </w:rPr>
              <w:t>K</w:t>
            </w:r>
            <w:r w:rsidRPr="008B7F94">
              <w:rPr>
                <w:i/>
                <w:iCs/>
                <w:vertAlign w:val="subscript"/>
              </w:rPr>
              <w:t>cG</w:t>
            </w:r>
            <w:r w:rsidRPr="008B7F94">
              <w:rPr>
                <w:i/>
                <w:iCs/>
                <w:vertAlign w:val="subscript"/>
                <w:lang w:val="en-US"/>
              </w:rPr>
              <w:t>max</w:t>
            </w:r>
            <w:r w:rsidRPr="008B7F94">
              <w:tab/>
            </w:r>
          </w:p>
        </w:tc>
        <w:tc>
          <w:tcPr>
            <w:tcW w:w="5897" w:type="dxa"/>
          </w:tcPr>
          <w:p w:rsidR="00D03C79" w:rsidRPr="008B7F94" w:rsidRDefault="00D03C79" w:rsidP="00370D40">
            <w:pPr>
              <w:rPr>
                <w:lang w:val="en-US"/>
              </w:rPr>
            </w:pPr>
            <w:r w:rsidRPr="008B7F94">
              <w:rPr>
                <w:lang w:val="en-US"/>
              </w:rPr>
              <w:t xml:space="preserve">half-saturating </w:t>
            </w:r>
            <w:proofErr w:type="spellStart"/>
            <w:r w:rsidRPr="008B7F94">
              <w:rPr>
                <w:i/>
                <w:iCs/>
                <w:lang w:val="en-US"/>
              </w:rPr>
              <w:t>cG</w:t>
            </w:r>
            <w:proofErr w:type="spellEnd"/>
            <w:r w:rsidRPr="008B7F94">
              <w:rPr>
                <w:lang w:val="en-US"/>
              </w:rPr>
              <w:t xml:space="preserve"> for channels’ activation at high </w:t>
            </w:r>
            <w:r w:rsidRPr="008B7F94">
              <w:rPr>
                <w:i/>
                <w:lang w:val="en-US"/>
              </w:rPr>
              <w:t>Ca</w:t>
            </w:r>
          </w:p>
        </w:tc>
        <w:tc>
          <w:tcPr>
            <w:tcW w:w="0" w:type="auto"/>
          </w:tcPr>
          <w:p w:rsidR="00D03C79" w:rsidRPr="008B7F94" w:rsidRDefault="00D03C79" w:rsidP="00370D40">
            <w:pPr>
              <w:rPr>
                <w:lang w:val="en-US"/>
              </w:rPr>
            </w:pPr>
          </w:p>
        </w:tc>
      </w:tr>
      <w:tr w:rsidR="00D03C79" w:rsidRPr="008B7F94" w:rsidTr="00370D40">
        <w:tc>
          <w:tcPr>
            <w:tcW w:w="1716" w:type="dxa"/>
          </w:tcPr>
          <w:p w:rsidR="00D03C79" w:rsidRPr="008B7F94" w:rsidRDefault="00D03C79" w:rsidP="00370D40">
            <w:pPr>
              <w:rPr>
                <w:i/>
                <w:iCs/>
                <w:lang w:val="en-US"/>
              </w:rPr>
            </w:pPr>
            <w:proofErr w:type="spellStart"/>
            <w:r w:rsidRPr="008B7F94">
              <w:rPr>
                <w:i/>
                <w:iCs/>
                <w:lang w:val="en-US"/>
              </w:rPr>
              <w:t>K</w:t>
            </w:r>
            <w:r w:rsidRPr="008B7F94">
              <w:rPr>
                <w:i/>
                <w:iCs/>
                <w:vertAlign w:val="subscript"/>
                <w:lang w:val="en-US"/>
              </w:rPr>
              <w:t>CaM</w:t>
            </w:r>
            <w:proofErr w:type="spellEnd"/>
          </w:p>
        </w:tc>
        <w:tc>
          <w:tcPr>
            <w:tcW w:w="5897" w:type="dxa"/>
          </w:tcPr>
          <w:p w:rsidR="00D03C79" w:rsidRPr="008B7F94" w:rsidRDefault="00D03C79" w:rsidP="00370D40">
            <w:pPr>
              <w:rPr>
                <w:lang w:val="en-US"/>
              </w:rPr>
            </w:pPr>
            <w:r w:rsidRPr="008B7F94">
              <w:rPr>
                <w:lang w:val="en-US"/>
              </w:rPr>
              <w:t>half-saturating Ca</w:t>
            </w:r>
            <w:r w:rsidRPr="008B7F94">
              <w:rPr>
                <w:vertAlign w:val="superscript"/>
                <w:lang w:val="en-US"/>
              </w:rPr>
              <w:t>2+</w:t>
            </w:r>
            <w:r w:rsidRPr="008B7F94">
              <w:rPr>
                <w:lang w:val="en-US"/>
              </w:rPr>
              <w:t xml:space="preserve"> concentration for </w:t>
            </w:r>
            <w:proofErr w:type="spellStart"/>
            <w:r w:rsidRPr="008B7F94">
              <w:rPr>
                <w:i/>
                <w:lang w:val="en-US"/>
              </w:rPr>
              <w:t>K</w:t>
            </w:r>
            <w:r w:rsidRPr="008B7F94">
              <w:rPr>
                <w:i/>
                <w:vertAlign w:val="subscript"/>
                <w:lang w:val="en-US"/>
              </w:rPr>
              <w:t>cG</w:t>
            </w:r>
            <w:proofErr w:type="spellEnd"/>
            <w:r w:rsidRPr="008B7F94">
              <w:rPr>
                <w:lang w:val="en-US"/>
              </w:rPr>
              <w:t xml:space="preserve"> modulation</w:t>
            </w:r>
          </w:p>
        </w:tc>
        <w:tc>
          <w:tcPr>
            <w:tcW w:w="0" w:type="auto"/>
          </w:tcPr>
          <w:p w:rsidR="00D03C79" w:rsidRPr="008B7F94" w:rsidRDefault="00D03C79" w:rsidP="00370D40">
            <w:pPr>
              <w:rPr>
                <w:lang w:val="en-US"/>
              </w:rPr>
            </w:pPr>
            <w:r w:rsidRPr="008B7F94">
              <w:rPr>
                <w:rFonts w:ascii="Symbol" w:hAnsi="Symbol"/>
                <w:lang w:val="en-US"/>
              </w:rPr>
              <w:t></w:t>
            </w:r>
            <w:r w:rsidRPr="008B7F94">
              <w:rPr>
                <w:kern w:val="32"/>
              </w:rPr>
              <w:t>M</w:t>
            </w:r>
          </w:p>
        </w:tc>
      </w:tr>
      <w:tr w:rsidR="00D03C79" w:rsidRPr="008B7F94" w:rsidTr="00370D40">
        <w:tc>
          <w:tcPr>
            <w:tcW w:w="1716" w:type="dxa"/>
          </w:tcPr>
          <w:p w:rsidR="00D03C79" w:rsidRPr="008B7F94" w:rsidRDefault="00D03C79" w:rsidP="00370D40">
            <w:pPr>
              <w:rPr>
                <w:i/>
                <w:iCs/>
                <w:lang w:val="en-US"/>
              </w:rPr>
            </w:pPr>
            <w:r w:rsidRPr="008B7F94">
              <w:rPr>
                <w:rFonts w:ascii="Symbol" w:hAnsi="Symbol"/>
                <w:i/>
                <w:iCs/>
                <w:lang w:val="en-US"/>
              </w:rPr>
              <w:t></w:t>
            </w:r>
            <w:r w:rsidRPr="008B7F94">
              <w:rPr>
                <w:i/>
                <w:iCs/>
                <w:vertAlign w:val="subscript"/>
                <w:lang w:val="en-US"/>
              </w:rPr>
              <w:t>e</w:t>
            </w:r>
          </w:p>
        </w:tc>
        <w:tc>
          <w:tcPr>
            <w:tcW w:w="5897" w:type="dxa"/>
          </w:tcPr>
          <w:p w:rsidR="00D03C79" w:rsidRPr="008B7F94" w:rsidRDefault="00D03C79" w:rsidP="00370D40">
            <w:pPr>
              <w:rPr>
                <w:lang w:val="en-US"/>
              </w:rPr>
            </w:pPr>
            <w:r w:rsidRPr="008B7F94">
              <w:rPr>
                <w:lang w:val="en-US"/>
              </w:rPr>
              <w:t>cell’s membrane time constant</w:t>
            </w:r>
          </w:p>
        </w:tc>
        <w:tc>
          <w:tcPr>
            <w:tcW w:w="0" w:type="auto"/>
          </w:tcPr>
          <w:p w:rsidR="00D03C79" w:rsidRPr="008B7F94" w:rsidRDefault="00D03C79" w:rsidP="00370D40">
            <w:pPr>
              <w:rPr>
                <w:lang w:val="en-US"/>
              </w:rPr>
            </w:pPr>
            <w:r w:rsidRPr="008B7F94">
              <w:rPr>
                <w:lang w:val="en-US"/>
              </w:rPr>
              <w:t>ms</w:t>
            </w:r>
          </w:p>
        </w:tc>
      </w:tr>
      <w:tr w:rsidR="00D03C79" w:rsidRPr="008B7F94" w:rsidTr="00370D40">
        <w:trPr>
          <w:cantSplit/>
        </w:trPr>
        <w:tc>
          <w:tcPr>
            <w:tcW w:w="8821" w:type="dxa"/>
            <w:gridSpan w:val="3"/>
          </w:tcPr>
          <w:p w:rsidR="00D03C79" w:rsidRPr="008B7F94" w:rsidRDefault="00D03C79" w:rsidP="00370D40">
            <w:pPr>
              <w:pStyle w:val="1"/>
              <w:spacing w:before="120"/>
              <w:rPr>
                <w:rFonts w:ascii="Times New Roman" w:hAnsi="Times New Roman"/>
                <w:b w:val="0"/>
                <w:color w:val="auto"/>
                <w:sz w:val="24"/>
                <w:szCs w:val="24"/>
              </w:rPr>
            </w:pPr>
            <w:r w:rsidRPr="008B7F94">
              <w:rPr>
                <w:rFonts w:ascii="Times New Roman" w:hAnsi="Times New Roman"/>
                <w:b w:val="0"/>
                <w:color w:val="auto"/>
                <w:sz w:val="24"/>
                <w:szCs w:val="24"/>
              </w:rPr>
              <w:t>Ca</w:t>
            </w:r>
            <w:r w:rsidRPr="008B7F94">
              <w:rPr>
                <w:rFonts w:ascii="Times New Roman" w:hAnsi="Times New Roman"/>
                <w:b w:val="0"/>
                <w:color w:val="auto"/>
                <w:sz w:val="24"/>
                <w:szCs w:val="24"/>
                <w:vertAlign w:val="superscript"/>
              </w:rPr>
              <w:t>2+</w:t>
            </w:r>
            <w:r w:rsidRPr="008B7F94">
              <w:rPr>
                <w:rFonts w:ascii="Times New Roman" w:hAnsi="Times New Roman"/>
                <w:b w:val="0"/>
                <w:color w:val="auto"/>
                <w:sz w:val="24"/>
                <w:szCs w:val="24"/>
              </w:rPr>
              <w:t xml:space="preserve"> turnover</w:t>
            </w:r>
          </w:p>
        </w:tc>
      </w:tr>
      <w:tr w:rsidR="00D03C79" w:rsidRPr="008B7F94" w:rsidTr="00370D40">
        <w:tc>
          <w:tcPr>
            <w:tcW w:w="1716" w:type="dxa"/>
          </w:tcPr>
          <w:p w:rsidR="00D03C79" w:rsidRPr="008B7F94" w:rsidRDefault="00D03C79" w:rsidP="00370D40">
            <w:r w:rsidRPr="008B7F94">
              <w:rPr>
                <w:i/>
                <w:iCs/>
                <w:kern w:val="32"/>
                <w:szCs w:val="22"/>
              </w:rPr>
              <w:t>Са</w:t>
            </w:r>
            <w:r w:rsidRPr="008B7F94">
              <w:rPr>
                <w:i/>
                <w:iCs/>
                <w:kern w:val="32"/>
                <w:szCs w:val="22"/>
              </w:rPr>
              <w:tab/>
            </w:r>
            <w:r w:rsidRPr="008B7F94">
              <w:rPr>
                <w:kern w:val="32"/>
                <w:szCs w:val="22"/>
              </w:rPr>
              <w:tab/>
            </w:r>
          </w:p>
        </w:tc>
        <w:tc>
          <w:tcPr>
            <w:tcW w:w="5897" w:type="dxa"/>
          </w:tcPr>
          <w:p w:rsidR="00D03C79" w:rsidRPr="008B7F94" w:rsidRDefault="00D03C79" w:rsidP="00370D40">
            <w:pPr>
              <w:rPr>
                <w:lang w:val="en-US"/>
              </w:rPr>
            </w:pPr>
            <w:r w:rsidRPr="008B7F94">
              <w:rPr>
                <w:kern w:val="32"/>
                <w:szCs w:val="22"/>
                <w:lang w:val="en-US"/>
              </w:rPr>
              <w:t>cytoplasmic concentration of free Ca</w:t>
            </w:r>
            <w:r w:rsidRPr="008B7F94">
              <w:rPr>
                <w:kern w:val="32"/>
                <w:szCs w:val="22"/>
                <w:vertAlign w:val="superscript"/>
                <w:lang w:val="en-US"/>
              </w:rPr>
              <w:t>2+</w:t>
            </w:r>
            <w:r w:rsidRPr="008B7F94">
              <w:rPr>
                <w:kern w:val="32"/>
                <w:szCs w:val="22"/>
                <w:lang w:val="en-US"/>
              </w:rPr>
              <w:t xml:space="preserve"> ions</w:t>
            </w:r>
            <w:r w:rsidRPr="008B7F94">
              <w:rPr>
                <w:kern w:val="32"/>
                <w:szCs w:val="22"/>
                <w:lang w:val="en-US"/>
              </w:rPr>
              <w:tab/>
            </w:r>
          </w:p>
        </w:tc>
        <w:tc>
          <w:tcPr>
            <w:tcW w:w="0" w:type="auto"/>
          </w:tcPr>
          <w:p w:rsidR="00D03C79" w:rsidRPr="008B7F94" w:rsidRDefault="00D03C79" w:rsidP="00370D40">
            <w:r w:rsidRPr="008B7F94">
              <w:rPr>
                <w:rFonts w:ascii="Symbol" w:hAnsi="Symbol"/>
                <w:szCs w:val="22"/>
                <w:lang w:val="en-US"/>
              </w:rPr>
              <w:t></w:t>
            </w:r>
            <w:r w:rsidRPr="008B7F94">
              <w:rPr>
                <w:kern w:val="32"/>
                <w:szCs w:val="22"/>
              </w:rPr>
              <w:t>M</w:t>
            </w:r>
          </w:p>
        </w:tc>
      </w:tr>
      <w:tr w:rsidR="00D03C79" w:rsidRPr="001B084C" w:rsidTr="00370D40">
        <w:tc>
          <w:tcPr>
            <w:tcW w:w="1716" w:type="dxa"/>
          </w:tcPr>
          <w:p w:rsidR="00D03C79" w:rsidRPr="008B7F94" w:rsidRDefault="00D03C79" w:rsidP="00370D40">
            <w:r w:rsidRPr="008B7F94">
              <w:rPr>
                <w:i/>
                <w:iCs/>
                <w:szCs w:val="22"/>
              </w:rPr>
              <w:t>f</w:t>
            </w:r>
            <w:r w:rsidRPr="008B7F94">
              <w:rPr>
                <w:i/>
                <w:iCs/>
                <w:szCs w:val="22"/>
                <w:vertAlign w:val="subscript"/>
              </w:rPr>
              <w:t>Ca</w:t>
            </w:r>
            <w:r w:rsidRPr="008B7F94">
              <w:rPr>
                <w:szCs w:val="22"/>
              </w:rPr>
              <w:tab/>
            </w:r>
          </w:p>
        </w:tc>
        <w:tc>
          <w:tcPr>
            <w:tcW w:w="5897" w:type="dxa"/>
          </w:tcPr>
          <w:p w:rsidR="00D03C79" w:rsidRPr="008B7F94" w:rsidRDefault="00D03C79" w:rsidP="00370D40">
            <w:pPr>
              <w:rPr>
                <w:lang w:val="en-US"/>
              </w:rPr>
            </w:pPr>
            <w:r w:rsidRPr="008B7F94">
              <w:rPr>
                <w:szCs w:val="22"/>
                <w:lang w:val="en-US"/>
              </w:rPr>
              <w:t>fraction of the channel current carried by Ca</w:t>
            </w:r>
            <w:r w:rsidRPr="008B7F94">
              <w:rPr>
                <w:szCs w:val="22"/>
                <w:vertAlign w:val="superscript"/>
                <w:lang w:val="en-US"/>
              </w:rPr>
              <w:t>2+</w:t>
            </w:r>
          </w:p>
        </w:tc>
        <w:tc>
          <w:tcPr>
            <w:tcW w:w="0" w:type="auto"/>
          </w:tcPr>
          <w:p w:rsidR="00D03C79" w:rsidRPr="008B7F94" w:rsidRDefault="00D03C79" w:rsidP="00370D40">
            <w:pPr>
              <w:rPr>
                <w:lang w:val="en-US"/>
              </w:rPr>
            </w:pPr>
          </w:p>
        </w:tc>
      </w:tr>
      <w:tr w:rsidR="00D03C79" w:rsidRPr="008B7F94" w:rsidTr="00370D40">
        <w:tc>
          <w:tcPr>
            <w:tcW w:w="1716" w:type="dxa"/>
          </w:tcPr>
          <w:p w:rsidR="00D03C79" w:rsidRPr="008B7F94" w:rsidRDefault="00D03C79" w:rsidP="00370D40">
            <w:proofErr w:type="spellStart"/>
            <w:r w:rsidRPr="008B7F94">
              <w:rPr>
                <w:i/>
                <w:iCs/>
                <w:szCs w:val="22"/>
              </w:rPr>
              <w:t>j</w:t>
            </w:r>
            <w:r w:rsidRPr="008B7F94">
              <w:rPr>
                <w:i/>
                <w:iCs/>
                <w:szCs w:val="22"/>
                <w:vertAlign w:val="subscript"/>
              </w:rPr>
              <w:t>exsat</w:t>
            </w:r>
            <w:proofErr w:type="spellEnd"/>
            <w:r w:rsidRPr="008B7F94">
              <w:rPr>
                <w:szCs w:val="22"/>
              </w:rPr>
              <w:tab/>
            </w:r>
            <w:r w:rsidRPr="008B7F94">
              <w:rPr>
                <w:szCs w:val="22"/>
                <w:vertAlign w:val="superscript"/>
              </w:rPr>
              <w:tab/>
            </w:r>
          </w:p>
        </w:tc>
        <w:tc>
          <w:tcPr>
            <w:tcW w:w="5897" w:type="dxa"/>
          </w:tcPr>
          <w:p w:rsidR="00D03C79" w:rsidRPr="008B7F94" w:rsidRDefault="00D03C79" w:rsidP="00370D40">
            <w:pPr>
              <w:rPr>
                <w:lang w:val="en-US"/>
              </w:rPr>
            </w:pPr>
            <w:r w:rsidRPr="008B7F94">
              <w:rPr>
                <w:szCs w:val="22"/>
                <w:lang w:val="en-US"/>
              </w:rPr>
              <w:t xml:space="preserve">maximum exchanger current at saturating </w:t>
            </w:r>
            <w:r w:rsidRPr="008B7F94">
              <w:rPr>
                <w:i/>
                <w:iCs/>
                <w:szCs w:val="22"/>
              </w:rPr>
              <w:t>Са</w:t>
            </w:r>
          </w:p>
        </w:tc>
        <w:tc>
          <w:tcPr>
            <w:tcW w:w="0" w:type="auto"/>
          </w:tcPr>
          <w:p w:rsidR="00D03C79" w:rsidRPr="008B7F94" w:rsidRDefault="00D03C79" w:rsidP="00370D40">
            <w:r w:rsidRPr="008B7F94">
              <w:rPr>
                <w:szCs w:val="22"/>
              </w:rPr>
              <w:t>A</w:t>
            </w:r>
          </w:p>
        </w:tc>
      </w:tr>
      <w:tr w:rsidR="00D03C79" w:rsidRPr="008B7F94" w:rsidTr="00370D40">
        <w:tc>
          <w:tcPr>
            <w:tcW w:w="1716" w:type="dxa"/>
          </w:tcPr>
          <w:p w:rsidR="00D03C79" w:rsidRPr="008B7F94" w:rsidRDefault="00D03C79" w:rsidP="00370D40">
            <w:r w:rsidRPr="008B7F94">
              <w:rPr>
                <w:i/>
                <w:iCs/>
                <w:szCs w:val="22"/>
              </w:rPr>
              <w:t>K</w:t>
            </w:r>
            <w:r w:rsidRPr="008B7F94">
              <w:rPr>
                <w:i/>
                <w:iCs/>
                <w:szCs w:val="22"/>
                <w:vertAlign w:val="subscript"/>
              </w:rPr>
              <w:t>ex</w:t>
            </w:r>
            <w:r w:rsidRPr="008B7F94">
              <w:rPr>
                <w:szCs w:val="22"/>
              </w:rPr>
              <w:tab/>
            </w:r>
            <w:r w:rsidRPr="008B7F94">
              <w:rPr>
                <w:szCs w:val="22"/>
              </w:rPr>
              <w:tab/>
            </w:r>
          </w:p>
        </w:tc>
        <w:tc>
          <w:tcPr>
            <w:tcW w:w="5897" w:type="dxa"/>
          </w:tcPr>
          <w:p w:rsidR="00D03C79" w:rsidRPr="008B7F94" w:rsidRDefault="00D03C79" w:rsidP="00370D40">
            <w:pPr>
              <w:rPr>
                <w:lang w:val="en-US"/>
              </w:rPr>
            </w:pPr>
            <w:r w:rsidRPr="008B7F94">
              <w:rPr>
                <w:szCs w:val="22"/>
                <w:lang w:val="en-US"/>
              </w:rPr>
              <w:t xml:space="preserve">half-saturating </w:t>
            </w:r>
            <w:r w:rsidRPr="008B7F94">
              <w:rPr>
                <w:i/>
                <w:iCs/>
                <w:szCs w:val="22"/>
                <w:lang w:val="en-US"/>
              </w:rPr>
              <w:t>Ca</w:t>
            </w:r>
            <w:r w:rsidRPr="008B7F94">
              <w:rPr>
                <w:szCs w:val="22"/>
                <w:lang w:val="en-US"/>
              </w:rPr>
              <w:t xml:space="preserve"> for the exchanger</w:t>
            </w:r>
          </w:p>
        </w:tc>
        <w:tc>
          <w:tcPr>
            <w:tcW w:w="0" w:type="auto"/>
          </w:tcPr>
          <w:p w:rsidR="00D03C79" w:rsidRPr="008B7F94" w:rsidRDefault="00D03C79" w:rsidP="00370D40">
            <w:r w:rsidRPr="008B7F94">
              <w:rPr>
                <w:rFonts w:ascii="Symbol" w:hAnsi="Symbol"/>
                <w:szCs w:val="22"/>
                <w:lang w:val="en-US"/>
              </w:rPr>
              <w:t></w:t>
            </w:r>
            <w:r w:rsidRPr="008B7F94">
              <w:rPr>
                <w:szCs w:val="22"/>
              </w:rPr>
              <w:t>M</w:t>
            </w:r>
          </w:p>
        </w:tc>
      </w:tr>
      <w:tr w:rsidR="00D03C79" w:rsidRPr="001B084C" w:rsidTr="00370D40">
        <w:tc>
          <w:tcPr>
            <w:tcW w:w="1716" w:type="dxa"/>
          </w:tcPr>
          <w:p w:rsidR="00D03C79" w:rsidRPr="008B7F94" w:rsidRDefault="00D03C79" w:rsidP="00370D40">
            <w:pPr>
              <w:pStyle w:val="4"/>
              <w:jc w:val="both"/>
            </w:pPr>
            <w:r w:rsidRPr="008B7F94">
              <w:t>FB</w:t>
            </w:r>
            <w:r w:rsidRPr="008B7F94">
              <w:tab/>
            </w:r>
          </w:p>
        </w:tc>
        <w:tc>
          <w:tcPr>
            <w:tcW w:w="5897" w:type="dxa"/>
          </w:tcPr>
          <w:p w:rsidR="00D03C79" w:rsidRPr="008B7F94" w:rsidRDefault="00D03C79" w:rsidP="00370D40">
            <w:pPr>
              <w:rPr>
                <w:lang w:val="en-US"/>
              </w:rPr>
            </w:pPr>
            <w:r w:rsidRPr="008B7F94">
              <w:rPr>
                <w:szCs w:val="22"/>
                <w:lang w:val="en-US"/>
              </w:rPr>
              <w:t>buffering power of fast Ca</w:t>
            </w:r>
            <w:r w:rsidRPr="008B7F94">
              <w:rPr>
                <w:szCs w:val="22"/>
                <w:vertAlign w:val="superscript"/>
                <w:lang w:val="en-US"/>
              </w:rPr>
              <w:t>2+</w:t>
            </w:r>
            <w:r w:rsidRPr="008B7F94">
              <w:rPr>
                <w:szCs w:val="22"/>
                <w:lang w:val="en-US"/>
              </w:rPr>
              <w:t xml:space="preserve"> buffer</w:t>
            </w:r>
          </w:p>
        </w:tc>
        <w:tc>
          <w:tcPr>
            <w:tcW w:w="0" w:type="auto"/>
          </w:tcPr>
          <w:p w:rsidR="00D03C79" w:rsidRPr="008B7F94" w:rsidRDefault="00D03C79" w:rsidP="00370D40">
            <w:pPr>
              <w:rPr>
                <w:lang w:val="en-US"/>
              </w:rPr>
            </w:pPr>
          </w:p>
        </w:tc>
      </w:tr>
      <w:tr w:rsidR="00D03C79" w:rsidRPr="008B7F94" w:rsidTr="00370D40">
        <w:tc>
          <w:tcPr>
            <w:tcW w:w="1716" w:type="dxa"/>
          </w:tcPr>
          <w:p w:rsidR="00D03C79" w:rsidRPr="008B7F94" w:rsidRDefault="00D03C79" w:rsidP="00370D40">
            <w:proofErr w:type="spellStart"/>
            <w:r w:rsidRPr="008B7F94">
              <w:rPr>
                <w:i/>
                <w:iCs/>
                <w:szCs w:val="22"/>
              </w:rPr>
              <w:t>B</w:t>
            </w:r>
            <w:r w:rsidRPr="008B7F94">
              <w:rPr>
                <w:szCs w:val="22"/>
                <w:vertAlign w:val="subscript"/>
              </w:rPr>
              <w:t>max</w:t>
            </w:r>
            <w:proofErr w:type="spellEnd"/>
            <w:r w:rsidRPr="008B7F94">
              <w:rPr>
                <w:szCs w:val="22"/>
              </w:rPr>
              <w:tab/>
            </w:r>
          </w:p>
        </w:tc>
        <w:tc>
          <w:tcPr>
            <w:tcW w:w="5897" w:type="dxa"/>
          </w:tcPr>
          <w:p w:rsidR="00D03C79" w:rsidRPr="008B7F94" w:rsidRDefault="00D03C79" w:rsidP="00370D40">
            <w:pPr>
              <w:rPr>
                <w:lang w:val="en-US"/>
              </w:rPr>
            </w:pPr>
            <w:r w:rsidRPr="008B7F94">
              <w:rPr>
                <w:szCs w:val="22"/>
                <w:lang w:val="en-US"/>
              </w:rPr>
              <w:t>concentration of slow Ca</w:t>
            </w:r>
            <w:r w:rsidRPr="008B7F94">
              <w:rPr>
                <w:szCs w:val="22"/>
                <w:vertAlign w:val="superscript"/>
                <w:lang w:val="en-US"/>
              </w:rPr>
              <w:t>2+</w:t>
            </w:r>
            <w:r w:rsidRPr="008B7F94">
              <w:rPr>
                <w:szCs w:val="22"/>
                <w:lang w:val="en-US"/>
              </w:rPr>
              <w:t xml:space="preserve"> buffer</w:t>
            </w:r>
          </w:p>
        </w:tc>
        <w:tc>
          <w:tcPr>
            <w:tcW w:w="0" w:type="auto"/>
          </w:tcPr>
          <w:p w:rsidR="00D03C79" w:rsidRPr="008B7F94" w:rsidRDefault="00D03C79" w:rsidP="00370D40">
            <w:r w:rsidRPr="008B7F94">
              <w:rPr>
                <w:rFonts w:ascii="Symbol" w:hAnsi="Symbol"/>
                <w:szCs w:val="22"/>
                <w:lang w:val="en-US"/>
              </w:rPr>
              <w:t></w:t>
            </w:r>
            <w:r w:rsidRPr="008B7F94">
              <w:t>M</w:t>
            </w:r>
          </w:p>
        </w:tc>
      </w:tr>
      <w:tr w:rsidR="00D03C79" w:rsidRPr="008B7F94" w:rsidTr="00370D40">
        <w:tc>
          <w:tcPr>
            <w:tcW w:w="1716" w:type="dxa"/>
          </w:tcPr>
          <w:p w:rsidR="00D03C79" w:rsidRPr="008B7F94" w:rsidRDefault="00D03C79" w:rsidP="00370D40">
            <w:pPr>
              <w:rPr>
                <w:i/>
                <w:iCs/>
                <w:szCs w:val="22"/>
              </w:rPr>
            </w:pPr>
            <w:r w:rsidRPr="008B7F94">
              <w:rPr>
                <w:i/>
                <w:iCs/>
                <w:szCs w:val="22"/>
              </w:rPr>
              <w:t>k</w:t>
            </w:r>
            <w:r w:rsidRPr="008B7F94">
              <w:rPr>
                <w:i/>
                <w:iCs/>
                <w:szCs w:val="22"/>
                <w:vertAlign w:val="subscript"/>
                <w:lang w:val="en-US"/>
              </w:rPr>
              <w:t>+</w:t>
            </w:r>
            <w:r w:rsidRPr="008B7F94">
              <w:rPr>
                <w:i/>
                <w:iCs/>
                <w:szCs w:val="22"/>
                <w:vertAlign w:val="subscript"/>
              </w:rPr>
              <w:t>1</w:t>
            </w:r>
            <w:r w:rsidRPr="008B7F94">
              <w:rPr>
                <w:szCs w:val="22"/>
              </w:rPr>
              <w:tab/>
            </w:r>
            <w:r w:rsidRPr="008B7F94">
              <w:rPr>
                <w:szCs w:val="22"/>
              </w:rPr>
              <w:tab/>
            </w:r>
          </w:p>
        </w:tc>
        <w:tc>
          <w:tcPr>
            <w:tcW w:w="5897" w:type="dxa"/>
          </w:tcPr>
          <w:p w:rsidR="00D03C79" w:rsidRPr="008B7F94" w:rsidRDefault="00D03C79" w:rsidP="00370D40">
            <w:pPr>
              <w:rPr>
                <w:szCs w:val="22"/>
                <w:lang w:val="en-US"/>
              </w:rPr>
            </w:pPr>
            <w:r w:rsidRPr="008B7F94">
              <w:rPr>
                <w:szCs w:val="22"/>
                <w:lang w:val="en-US"/>
              </w:rPr>
              <w:t>rate constant of Ca</w:t>
            </w:r>
            <w:r w:rsidRPr="008B7F94">
              <w:rPr>
                <w:szCs w:val="22"/>
                <w:vertAlign w:val="superscript"/>
                <w:lang w:val="en-US"/>
              </w:rPr>
              <w:t>2+</w:t>
            </w:r>
            <w:r w:rsidRPr="008B7F94">
              <w:rPr>
                <w:szCs w:val="22"/>
                <w:lang w:val="en-US"/>
              </w:rPr>
              <w:t xml:space="preserve"> binding to slow buffer</w:t>
            </w:r>
            <w:r w:rsidRPr="008B7F94">
              <w:rPr>
                <w:szCs w:val="22"/>
                <w:lang w:val="en-US"/>
              </w:rPr>
              <w:tab/>
            </w:r>
          </w:p>
        </w:tc>
        <w:tc>
          <w:tcPr>
            <w:tcW w:w="0" w:type="auto"/>
          </w:tcPr>
          <w:p w:rsidR="00D03C79" w:rsidRPr="008B7F94" w:rsidRDefault="00D03C79" w:rsidP="00370D40">
            <w:r w:rsidRPr="008B7F94">
              <w:rPr>
                <w:rFonts w:ascii="Symbol" w:hAnsi="Symbol"/>
                <w:szCs w:val="22"/>
                <w:lang w:val="en-US"/>
              </w:rPr>
              <w:t></w:t>
            </w:r>
            <w:r w:rsidRPr="008B7F94">
              <w:rPr>
                <w:szCs w:val="22"/>
              </w:rPr>
              <w:t>M</w:t>
            </w:r>
            <w:r w:rsidRPr="008B7F94">
              <w:rPr>
                <w:szCs w:val="22"/>
                <w:vertAlign w:val="superscript"/>
              </w:rPr>
              <w:t>-1</w:t>
            </w:r>
            <w:r w:rsidRPr="008B7F94">
              <w:rPr>
                <w:szCs w:val="22"/>
              </w:rPr>
              <w:t>s</w:t>
            </w:r>
            <w:r w:rsidRPr="008B7F94">
              <w:rPr>
                <w:szCs w:val="22"/>
                <w:vertAlign w:val="superscript"/>
              </w:rPr>
              <w:t>-1</w:t>
            </w:r>
          </w:p>
        </w:tc>
      </w:tr>
      <w:tr w:rsidR="00D03C79" w:rsidRPr="008B7F94" w:rsidTr="00370D40">
        <w:tc>
          <w:tcPr>
            <w:tcW w:w="1716" w:type="dxa"/>
          </w:tcPr>
          <w:p w:rsidR="00D03C79" w:rsidRPr="008B7F94" w:rsidRDefault="00D03C79" w:rsidP="00370D40">
            <w:pPr>
              <w:rPr>
                <w:i/>
                <w:iCs/>
                <w:szCs w:val="22"/>
              </w:rPr>
            </w:pPr>
            <w:r w:rsidRPr="008B7F94">
              <w:rPr>
                <w:i/>
                <w:iCs/>
                <w:szCs w:val="22"/>
              </w:rPr>
              <w:t>k</w:t>
            </w:r>
            <w:r w:rsidRPr="008B7F94">
              <w:rPr>
                <w:i/>
                <w:iCs/>
                <w:szCs w:val="22"/>
                <w:vertAlign w:val="subscript"/>
                <w:lang w:val="en-US"/>
              </w:rPr>
              <w:t>-</w:t>
            </w:r>
            <w:r w:rsidRPr="008B7F94">
              <w:rPr>
                <w:i/>
                <w:iCs/>
                <w:szCs w:val="22"/>
                <w:vertAlign w:val="subscript"/>
              </w:rPr>
              <w:t>1</w:t>
            </w:r>
            <w:r w:rsidRPr="008B7F94">
              <w:rPr>
                <w:szCs w:val="22"/>
              </w:rPr>
              <w:tab/>
            </w:r>
          </w:p>
        </w:tc>
        <w:tc>
          <w:tcPr>
            <w:tcW w:w="5897" w:type="dxa"/>
          </w:tcPr>
          <w:p w:rsidR="00D03C79" w:rsidRPr="008B7F94" w:rsidRDefault="00D03C79" w:rsidP="00370D40">
            <w:pPr>
              <w:rPr>
                <w:szCs w:val="22"/>
                <w:lang w:val="en-US"/>
              </w:rPr>
            </w:pPr>
            <w:r w:rsidRPr="008B7F94">
              <w:rPr>
                <w:szCs w:val="22"/>
                <w:lang w:val="en-US"/>
              </w:rPr>
              <w:t>rate constant of Ca</w:t>
            </w:r>
            <w:r w:rsidRPr="008B7F94">
              <w:rPr>
                <w:szCs w:val="22"/>
                <w:vertAlign w:val="superscript"/>
                <w:lang w:val="en-US"/>
              </w:rPr>
              <w:t>2+</w:t>
            </w:r>
            <w:r w:rsidRPr="008B7F94">
              <w:rPr>
                <w:szCs w:val="22"/>
                <w:lang w:val="en-US"/>
              </w:rPr>
              <w:t xml:space="preserve"> release from slow buffer</w:t>
            </w:r>
          </w:p>
        </w:tc>
        <w:tc>
          <w:tcPr>
            <w:tcW w:w="0" w:type="auto"/>
          </w:tcPr>
          <w:p w:rsidR="00D03C79" w:rsidRPr="008B7F94" w:rsidRDefault="00D03C79" w:rsidP="00370D40">
            <w:r w:rsidRPr="008B7F94">
              <w:rPr>
                <w:szCs w:val="22"/>
              </w:rPr>
              <w:t>s</w:t>
            </w:r>
            <w:r w:rsidRPr="008B7F94">
              <w:rPr>
                <w:szCs w:val="22"/>
                <w:vertAlign w:val="superscript"/>
              </w:rPr>
              <w:t>-1</w:t>
            </w:r>
          </w:p>
        </w:tc>
      </w:tr>
    </w:tbl>
    <w:p w:rsidR="00D03C79" w:rsidRPr="008B7F94" w:rsidRDefault="00D03C79" w:rsidP="00D03C79">
      <w:pPr>
        <w:spacing w:line="360" w:lineRule="auto"/>
        <w:rPr>
          <w:lang w:val="en-US"/>
        </w:rPr>
      </w:pPr>
    </w:p>
    <w:p w:rsidR="00D03C79" w:rsidRPr="008B7F94" w:rsidRDefault="00D03C79" w:rsidP="00D03C79">
      <w:pPr>
        <w:spacing w:line="360" w:lineRule="auto"/>
        <w:rPr>
          <w:lang w:val="en-US"/>
        </w:rPr>
      </w:pPr>
    </w:p>
    <w:p w:rsidR="00D03C79" w:rsidRPr="008B7F94" w:rsidRDefault="00D03C79" w:rsidP="00D03C79">
      <w:pPr>
        <w:spacing w:line="360" w:lineRule="auto"/>
        <w:rPr>
          <w:lang w:val="en-US"/>
        </w:rPr>
      </w:pPr>
    </w:p>
    <w:p w:rsidR="00D03C79" w:rsidRPr="008B7F94" w:rsidRDefault="00D03C79" w:rsidP="00D03C79">
      <w:pPr>
        <w:tabs>
          <w:tab w:val="left" w:pos="1942"/>
        </w:tabs>
        <w:rPr>
          <w:lang w:val="en-US"/>
        </w:rPr>
      </w:pPr>
      <w:r w:rsidRPr="008B7F94">
        <w:rPr>
          <w:lang w:val="en-US"/>
        </w:rPr>
        <w:t xml:space="preserve">Table A2. </w:t>
      </w:r>
      <w:proofErr w:type="gramStart"/>
      <w:r w:rsidRPr="008B7F94">
        <w:rPr>
          <w:lang w:val="en-US"/>
        </w:rPr>
        <w:t>Fixed model parameters.</w:t>
      </w:r>
      <w:proofErr w:type="gramEnd"/>
      <w:r w:rsidRPr="008B7F94">
        <w:rPr>
          <w:lang w:val="en-US"/>
        </w:rPr>
        <w:tab/>
      </w:r>
    </w:p>
    <w:p w:rsidR="00D03C79" w:rsidRPr="008B7F94" w:rsidRDefault="00D03C79" w:rsidP="00D03C79">
      <w:pPr>
        <w:spacing w:before="120" w:line="480" w:lineRule="auto"/>
        <w:rPr>
          <w:b/>
          <w:lang w:val="en-US"/>
        </w:rPr>
      </w:pPr>
    </w:p>
    <w:tbl>
      <w:tblPr>
        <w:tblW w:w="0" w:type="auto"/>
        <w:tblBorders>
          <w:top w:val="single" w:sz="12" w:space="0" w:color="008000"/>
          <w:left w:val="nil"/>
          <w:bottom w:val="single" w:sz="12" w:space="0" w:color="008000"/>
          <w:right w:val="nil"/>
          <w:insideH w:val="nil"/>
          <w:insideV w:val="nil"/>
        </w:tblBorders>
        <w:tblLook w:val="00BF"/>
      </w:tblPr>
      <w:tblGrid>
        <w:gridCol w:w="1422"/>
        <w:gridCol w:w="1050"/>
        <w:gridCol w:w="1656"/>
        <w:gridCol w:w="1649"/>
        <w:gridCol w:w="1656"/>
      </w:tblGrid>
      <w:tr w:rsidR="00D03C79" w:rsidRPr="008B7F94" w:rsidTr="00370D40">
        <w:trPr>
          <w:cantSplit/>
        </w:trPr>
        <w:tc>
          <w:tcPr>
            <w:tcW w:w="0" w:type="auto"/>
            <w:tcBorders>
              <w:top w:val="single" w:sz="4" w:space="0" w:color="auto"/>
              <w:bottom w:val="single" w:sz="4" w:space="0" w:color="auto"/>
              <w:right w:val="nil"/>
            </w:tcBorders>
            <w:tcMar>
              <w:left w:w="115" w:type="dxa"/>
              <w:right w:w="115" w:type="dxa"/>
            </w:tcMar>
            <w:vAlign w:val="center"/>
          </w:tcPr>
          <w:p w:rsidR="00D03C79" w:rsidRPr="008B7F94" w:rsidRDefault="00D03C79" w:rsidP="00370D40">
            <w:pPr>
              <w:pStyle w:val="TBLTTL"/>
              <w:spacing w:before="120" w:line="240" w:lineRule="auto"/>
              <w:ind w:right="53"/>
              <w:jc w:val="both"/>
              <w:rPr>
                <w:rFonts w:ascii="Times New Roman" w:hAnsi="Times New Roman"/>
                <w:b w:val="0"/>
                <w:szCs w:val="24"/>
              </w:rPr>
            </w:pPr>
            <w:r w:rsidRPr="008B7F94">
              <w:rPr>
                <w:rFonts w:ascii="Times New Roman" w:hAnsi="Times New Roman"/>
                <w:b w:val="0"/>
                <w:szCs w:val="24"/>
              </w:rPr>
              <w:t>Parameter</w:t>
            </w:r>
          </w:p>
        </w:tc>
        <w:tc>
          <w:tcPr>
            <w:tcW w:w="0" w:type="auto"/>
            <w:tcBorders>
              <w:top w:val="single" w:sz="4" w:space="0" w:color="auto"/>
              <w:left w:val="nil"/>
              <w:bottom w:val="single" w:sz="4" w:space="0" w:color="auto"/>
              <w:right w:val="nil"/>
            </w:tcBorders>
            <w:vAlign w:val="center"/>
          </w:tcPr>
          <w:p w:rsidR="00D03C79" w:rsidRPr="008B7F94" w:rsidRDefault="00D03C79" w:rsidP="00370D40">
            <w:pPr>
              <w:pStyle w:val="TBLTTL"/>
              <w:spacing w:before="120" w:line="240" w:lineRule="auto"/>
              <w:ind w:left="149" w:hanging="149"/>
              <w:jc w:val="both"/>
              <w:rPr>
                <w:rFonts w:ascii="Times New Roman" w:hAnsi="Times New Roman"/>
                <w:b w:val="0"/>
                <w:szCs w:val="24"/>
              </w:rPr>
            </w:pPr>
            <w:r w:rsidRPr="008B7F94">
              <w:rPr>
                <w:rFonts w:ascii="Times New Roman" w:hAnsi="Times New Roman"/>
                <w:b w:val="0"/>
                <w:szCs w:val="24"/>
              </w:rPr>
              <w:t>Frog rod</w:t>
            </w:r>
          </w:p>
        </w:tc>
        <w:tc>
          <w:tcPr>
            <w:tcW w:w="0" w:type="auto"/>
            <w:tcBorders>
              <w:top w:val="single" w:sz="4" w:space="0" w:color="auto"/>
              <w:left w:val="nil"/>
              <w:bottom w:val="single" w:sz="4" w:space="0" w:color="auto"/>
              <w:right w:val="nil"/>
            </w:tcBorders>
            <w:vAlign w:val="center"/>
          </w:tcPr>
          <w:p w:rsidR="00D03C79" w:rsidRPr="008B7F94" w:rsidRDefault="00D03C79" w:rsidP="00370D40">
            <w:pPr>
              <w:pStyle w:val="TBLTTL"/>
              <w:spacing w:before="120" w:line="240" w:lineRule="auto"/>
              <w:jc w:val="both"/>
              <w:rPr>
                <w:rFonts w:ascii="Times New Roman" w:hAnsi="Times New Roman"/>
                <w:b w:val="0"/>
                <w:szCs w:val="24"/>
              </w:rPr>
            </w:pPr>
            <w:r w:rsidRPr="008B7F94">
              <w:rPr>
                <w:rFonts w:ascii="Times New Roman" w:hAnsi="Times New Roman"/>
                <w:b w:val="0"/>
                <w:szCs w:val="24"/>
              </w:rPr>
              <w:t>Source</w:t>
            </w:r>
          </w:p>
        </w:tc>
        <w:tc>
          <w:tcPr>
            <w:tcW w:w="0" w:type="auto"/>
            <w:tcBorders>
              <w:top w:val="single" w:sz="4" w:space="0" w:color="auto"/>
              <w:left w:val="nil"/>
              <w:bottom w:val="single" w:sz="4" w:space="0" w:color="auto"/>
              <w:right w:val="nil"/>
            </w:tcBorders>
            <w:vAlign w:val="center"/>
          </w:tcPr>
          <w:p w:rsidR="00D03C79" w:rsidRPr="008B7F94" w:rsidRDefault="00D03C79" w:rsidP="00370D40">
            <w:pPr>
              <w:pStyle w:val="TBLTTL"/>
              <w:spacing w:before="120" w:line="240" w:lineRule="auto"/>
              <w:jc w:val="both"/>
              <w:rPr>
                <w:rFonts w:ascii="Times New Roman" w:hAnsi="Times New Roman"/>
                <w:b w:val="0"/>
                <w:szCs w:val="24"/>
              </w:rPr>
            </w:pPr>
            <w:r w:rsidRPr="008B7F94">
              <w:rPr>
                <w:rFonts w:ascii="Times New Roman" w:hAnsi="Times New Roman"/>
                <w:b w:val="0"/>
                <w:szCs w:val="24"/>
              </w:rPr>
              <w:t>Carassius cone</w:t>
            </w:r>
          </w:p>
        </w:tc>
        <w:tc>
          <w:tcPr>
            <w:tcW w:w="0" w:type="auto"/>
            <w:tcBorders>
              <w:top w:val="single" w:sz="4" w:space="0" w:color="auto"/>
              <w:left w:val="nil"/>
              <w:bottom w:val="single" w:sz="4" w:space="0" w:color="auto"/>
              <w:right w:val="nil"/>
            </w:tcBorders>
            <w:vAlign w:val="center"/>
          </w:tcPr>
          <w:p w:rsidR="00D03C79" w:rsidRPr="008B7F94" w:rsidRDefault="00D03C79" w:rsidP="00370D40">
            <w:pPr>
              <w:pStyle w:val="TBLTTL"/>
              <w:spacing w:before="120" w:line="240" w:lineRule="auto"/>
              <w:jc w:val="both"/>
              <w:rPr>
                <w:rFonts w:ascii="Times New Roman" w:hAnsi="Times New Roman"/>
                <w:b w:val="0"/>
                <w:szCs w:val="24"/>
              </w:rPr>
            </w:pPr>
            <w:r w:rsidRPr="008B7F94">
              <w:rPr>
                <w:rFonts w:ascii="Times New Roman" w:hAnsi="Times New Roman"/>
                <w:b w:val="0"/>
                <w:szCs w:val="24"/>
              </w:rPr>
              <w:t>Source</w:t>
            </w:r>
          </w:p>
        </w:tc>
      </w:tr>
      <w:tr w:rsidR="00D03C79" w:rsidRPr="008B7F94" w:rsidTr="00370D40">
        <w:trPr>
          <w:cantSplit/>
        </w:trPr>
        <w:tc>
          <w:tcPr>
            <w:tcW w:w="0" w:type="auto"/>
            <w:tcBorders>
              <w:top w:val="single" w:sz="4" w:space="0" w:color="auto"/>
              <w:bottom w:val="nil"/>
              <w:right w:val="nil"/>
            </w:tcBorders>
            <w:tcMar>
              <w:left w:w="115" w:type="dxa"/>
              <w:right w:w="115" w:type="dxa"/>
            </w:tcMar>
          </w:tcPr>
          <w:p w:rsidR="00D03C79" w:rsidRPr="008B7F94" w:rsidRDefault="00D03C79" w:rsidP="00370D40">
            <w:pPr>
              <w:spacing w:before="120"/>
              <w:rPr>
                <w:i/>
                <w:iCs/>
                <w:szCs w:val="22"/>
                <w:lang w:val="en-US"/>
              </w:rPr>
            </w:pPr>
            <w:proofErr w:type="spellStart"/>
            <w:r w:rsidRPr="008B7F94">
              <w:rPr>
                <w:i/>
                <w:iCs/>
                <w:szCs w:val="22"/>
                <w:lang w:val="en-US"/>
              </w:rPr>
              <w:t>V</w:t>
            </w:r>
            <w:r w:rsidRPr="008B7F94">
              <w:rPr>
                <w:i/>
                <w:iCs/>
                <w:szCs w:val="22"/>
                <w:vertAlign w:val="subscript"/>
                <w:lang w:val="en-US"/>
              </w:rPr>
              <w:t>cyto</w:t>
            </w:r>
            <w:proofErr w:type="spellEnd"/>
            <w:r w:rsidRPr="008B7F94">
              <w:rPr>
                <w:i/>
                <w:iCs/>
                <w:szCs w:val="22"/>
                <w:lang w:val="en-US"/>
              </w:rPr>
              <w:t xml:space="preserve">, </w:t>
            </w:r>
            <w:r w:rsidRPr="008B7F94">
              <w:rPr>
                <w:iCs/>
                <w:szCs w:val="22"/>
                <w:lang w:val="en-US"/>
              </w:rPr>
              <w:t>l</w:t>
            </w:r>
          </w:p>
        </w:tc>
        <w:tc>
          <w:tcPr>
            <w:tcW w:w="0" w:type="auto"/>
            <w:tcBorders>
              <w:top w:val="single" w:sz="4" w:space="0" w:color="auto"/>
              <w:left w:val="nil"/>
              <w:bottom w:val="nil"/>
              <w:right w:val="nil"/>
            </w:tcBorders>
            <w:vAlign w:val="center"/>
          </w:tcPr>
          <w:p w:rsidR="00D03C79" w:rsidRPr="008B7F94" w:rsidRDefault="00D03C79" w:rsidP="00370D40">
            <w:pPr>
              <w:pStyle w:val="TBLROW"/>
              <w:tabs>
                <w:tab w:val="left" w:pos="360"/>
              </w:tabs>
              <w:spacing w:before="120" w:after="0" w:line="240" w:lineRule="auto"/>
              <w:ind w:left="149" w:hanging="149"/>
              <w:jc w:val="both"/>
              <w:rPr>
                <w:rFonts w:ascii="Times New Roman" w:hAnsi="Times New Roman"/>
                <w:sz w:val="24"/>
                <w:szCs w:val="24"/>
                <w:lang w:val="ru-RU"/>
              </w:rPr>
            </w:pPr>
            <w:r w:rsidRPr="008B7F94">
              <w:rPr>
                <w:rFonts w:ascii="Times New Roman" w:hAnsi="Times New Roman"/>
                <w:sz w:val="24"/>
                <w:szCs w:val="24"/>
              </w:rPr>
              <w:t>1</w:t>
            </w:r>
            <w:r w:rsidRPr="008B7F94">
              <w:rPr>
                <w:rFonts w:ascii="Times New Roman" w:hAnsi="Times New Roman"/>
                <w:sz w:val="24"/>
                <w:szCs w:val="24"/>
                <w:vertAlign w:val="superscript"/>
                <w:lang w:val="en-US"/>
              </w:rPr>
              <w:t>.</w:t>
            </w:r>
            <w:r w:rsidRPr="008B7F94">
              <w:rPr>
                <w:rFonts w:ascii="Times New Roman" w:hAnsi="Times New Roman"/>
                <w:sz w:val="24"/>
                <w:szCs w:val="24"/>
                <w:lang w:val="ru-RU"/>
              </w:rPr>
              <w:t>10</w:t>
            </w:r>
            <w:r w:rsidRPr="008B7F94">
              <w:rPr>
                <w:rFonts w:ascii="Times New Roman" w:hAnsi="Times New Roman"/>
                <w:sz w:val="24"/>
                <w:szCs w:val="24"/>
                <w:vertAlign w:val="superscript"/>
                <w:lang w:val="ru-RU"/>
              </w:rPr>
              <w:t>-12</w:t>
            </w:r>
          </w:p>
        </w:tc>
        <w:tc>
          <w:tcPr>
            <w:tcW w:w="0" w:type="auto"/>
            <w:tcBorders>
              <w:top w:val="single" w:sz="4" w:space="0" w:color="auto"/>
              <w:left w:val="nil"/>
              <w:bottom w:val="nil"/>
              <w:right w:val="nil"/>
            </w:tcBorders>
            <w:vAlign w:val="center"/>
          </w:tcPr>
          <w:p w:rsidR="00D03C79" w:rsidRPr="008B7F94" w:rsidRDefault="00D03C79" w:rsidP="00370D40">
            <w:pPr>
              <w:pStyle w:val="TBLROW"/>
              <w:tabs>
                <w:tab w:val="left" w:pos="360"/>
              </w:tabs>
              <w:spacing w:before="120" w:after="0" w:line="240" w:lineRule="auto"/>
              <w:jc w:val="both"/>
              <w:rPr>
                <w:rFonts w:ascii="Times New Roman" w:hAnsi="Times New Roman"/>
                <w:sz w:val="24"/>
                <w:szCs w:val="24"/>
              </w:rPr>
            </w:pPr>
            <w:r w:rsidRPr="008B7F94">
              <w:rPr>
                <w:rFonts w:ascii="Times New Roman" w:hAnsi="Times New Roman"/>
                <w:sz w:val="24"/>
                <w:szCs w:val="24"/>
              </w:rPr>
              <w:t>*</w:t>
            </w:r>
          </w:p>
        </w:tc>
        <w:tc>
          <w:tcPr>
            <w:tcW w:w="0" w:type="auto"/>
            <w:tcBorders>
              <w:top w:val="single" w:sz="4" w:space="0" w:color="auto"/>
              <w:left w:val="nil"/>
              <w:bottom w:val="nil"/>
              <w:right w:val="nil"/>
            </w:tcBorders>
            <w:vAlign w:val="center"/>
          </w:tcPr>
          <w:p w:rsidR="00D03C79" w:rsidRPr="008B7F94" w:rsidRDefault="00D03C79" w:rsidP="00370D40">
            <w:pPr>
              <w:pStyle w:val="TBLROW"/>
              <w:tabs>
                <w:tab w:val="left" w:pos="360"/>
              </w:tabs>
              <w:spacing w:before="120" w:after="0" w:line="240" w:lineRule="auto"/>
              <w:jc w:val="both"/>
              <w:rPr>
                <w:rFonts w:ascii="Times New Roman" w:hAnsi="Times New Roman"/>
                <w:sz w:val="24"/>
                <w:szCs w:val="24"/>
              </w:rPr>
            </w:pPr>
            <w:r w:rsidRPr="008B7F94">
              <w:rPr>
                <w:rFonts w:ascii="Times New Roman" w:hAnsi="Times New Roman"/>
                <w:sz w:val="24"/>
                <w:szCs w:val="24"/>
              </w:rPr>
              <w:t>0.06</w:t>
            </w:r>
            <w:r w:rsidRPr="008B7F94">
              <w:rPr>
                <w:rFonts w:ascii="Times New Roman" w:hAnsi="Times New Roman"/>
                <w:sz w:val="24"/>
                <w:szCs w:val="24"/>
                <w:vertAlign w:val="superscript"/>
                <w:lang w:val="en-US"/>
              </w:rPr>
              <w:t>.</w:t>
            </w:r>
            <w:r w:rsidRPr="008B7F94">
              <w:rPr>
                <w:rFonts w:ascii="Times New Roman" w:hAnsi="Times New Roman"/>
                <w:sz w:val="24"/>
                <w:szCs w:val="24"/>
                <w:lang w:val="ru-RU"/>
              </w:rPr>
              <w:t>10</w:t>
            </w:r>
            <w:r w:rsidRPr="008B7F94">
              <w:rPr>
                <w:rFonts w:ascii="Times New Roman" w:hAnsi="Times New Roman"/>
                <w:sz w:val="24"/>
                <w:szCs w:val="24"/>
                <w:vertAlign w:val="superscript"/>
                <w:lang w:val="ru-RU"/>
              </w:rPr>
              <w:t>-12</w:t>
            </w:r>
          </w:p>
        </w:tc>
        <w:tc>
          <w:tcPr>
            <w:tcW w:w="0" w:type="auto"/>
            <w:tcBorders>
              <w:top w:val="single" w:sz="4" w:space="0" w:color="auto"/>
              <w:left w:val="nil"/>
              <w:bottom w:val="nil"/>
              <w:right w:val="nil"/>
            </w:tcBorders>
            <w:vAlign w:val="center"/>
          </w:tcPr>
          <w:p w:rsidR="00D03C79" w:rsidRPr="008B7F94" w:rsidRDefault="00D03C79" w:rsidP="00370D40">
            <w:pPr>
              <w:pStyle w:val="TBLROW"/>
              <w:tabs>
                <w:tab w:val="left" w:pos="360"/>
              </w:tabs>
              <w:spacing w:before="120" w:after="0" w:line="240" w:lineRule="auto"/>
              <w:jc w:val="both"/>
              <w:rPr>
                <w:rFonts w:ascii="Times New Roman" w:hAnsi="Times New Roman"/>
                <w:i/>
                <w:sz w:val="24"/>
                <w:szCs w:val="24"/>
              </w:rPr>
            </w:pPr>
            <w:r w:rsidRPr="008B7F94">
              <w:rPr>
                <w:rFonts w:ascii="Times New Roman" w:hAnsi="Times New Roman"/>
                <w:i/>
                <w:sz w:val="24"/>
                <w:szCs w:val="24"/>
              </w:rPr>
              <w:t>*</w:t>
            </w:r>
          </w:p>
        </w:tc>
      </w:tr>
      <w:tr w:rsidR="00D03C79" w:rsidRPr="008B7F94" w:rsidTr="00370D40">
        <w:trPr>
          <w:cantSplit/>
        </w:trPr>
        <w:tc>
          <w:tcPr>
            <w:tcW w:w="0" w:type="auto"/>
            <w:tcBorders>
              <w:top w:val="single" w:sz="4" w:space="0" w:color="auto"/>
              <w:bottom w:val="nil"/>
              <w:right w:val="nil"/>
            </w:tcBorders>
            <w:tcMar>
              <w:left w:w="115" w:type="dxa"/>
              <w:right w:w="115" w:type="dxa"/>
            </w:tcMar>
          </w:tcPr>
          <w:p w:rsidR="00D03C79" w:rsidRPr="008B7F94" w:rsidRDefault="00D03C79" w:rsidP="00370D40">
            <w:pPr>
              <w:spacing w:before="120"/>
            </w:pPr>
            <w:r w:rsidRPr="008B7F94">
              <w:rPr>
                <w:i/>
                <w:iCs/>
                <w:szCs w:val="22"/>
              </w:rPr>
              <w:t>n</w:t>
            </w:r>
            <w:r w:rsidRPr="008B7F94">
              <w:rPr>
                <w:i/>
                <w:iCs/>
                <w:szCs w:val="22"/>
                <w:vertAlign w:val="subscript"/>
              </w:rPr>
              <w:t>cG</w:t>
            </w:r>
          </w:p>
        </w:tc>
        <w:tc>
          <w:tcPr>
            <w:tcW w:w="0" w:type="auto"/>
            <w:tcBorders>
              <w:top w:val="single" w:sz="4" w:space="0" w:color="auto"/>
              <w:left w:val="nil"/>
              <w:bottom w:val="nil"/>
              <w:right w:val="nil"/>
            </w:tcBorders>
            <w:vAlign w:val="center"/>
          </w:tcPr>
          <w:p w:rsidR="00D03C79" w:rsidRPr="008B7F94" w:rsidRDefault="00D03C79" w:rsidP="00370D40">
            <w:pPr>
              <w:pStyle w:val="TBLROW"/>
              <w:tabs>
                <w:tab w:val="left" w:pos="360"/>
              </w:tabs>
              <w:spacing w:before="120" w:after="0" w:line="240" w:lineRule="auto"/>
              <w:ind w:left="149" w:hanging="149"/>
              <w:jc w:val="both"/>
              <w:rPr>
                <w:rFonts w:ascii="Times New Roman" w:hAnsi="Times New Roman"/>
                <w:sz w:val="24"/>
                <w:szCs w:val="24"/>
              </w:rPr>
            </w:pPr>
            <w:r w:rsidRPr="008B7F94">
              <w:rPr>
                <w:rFonts w:ascii="Times New Roman" w:hAnsi="Times New Roman"/>
                <w:sz w:val="24"/>
                <w:szCs w:val="24"/>
              </w:rPr>
              <w:t>2.5</w:t>
            </w:r>
          </w:p>
        </w:tc>
        <w:tc>
          <w:tcPr>
            <w:tcW w:w="0" w:type="auto"/>
            <w:tcBorders>
              <w:top w:val="single" w:sz="4" w:space="0" w:color="auto"/>
              <w:left w:val="nil"/>
              <w:bottom w:val="nil"/>
              <w:right w:val="nil"/>
            </w:tcBorders>
            <w:vAlign w:val="center"/>
          </w:tcPr>
          <w:p w:rsidR="00D03C79" w:rsidRPr="008B7F94" w:rsidRDefault="00D03C79" w:rsidP="00FF0B07">
            <w:pPr>
              <w:pStyle w:val="TBLROW"/>
              <w:tabs>
                <w:tab w:val="left" w:pos="360"/>
              </w:tabs>
              <w:spacing w:before="120" w:after="0" w:line="240" w:lineRule="auto"/>
              <w:jc w:val="both"/>
              <w:rPr>
                <w:rFonts w:ascii="Times New Roman" w:hAnsi="Times New Roman"/>
                <w:sz w:val="24"/>
                <w:szCs w:val="24"/>
              </w:rPr>
            </w:pPr>
            <w:r w:rsidRPr="008B7F94">
              <w:rPr>
                <w:rFonts w:ascii="Times New Roman" w:hAnsi="Times New Roman"/>
                <w:sz w:val="24"/>
                <w:szCs w:val="24"/>
              </w:rPr>
              <w:t>[</w:t>
            </w:r>
            <w:r w:rsidR="0091321B" w:rsidRPr="008B7F94">
              <w:rPr>
                <w:rFonts w:ascii="Times New Roman" w:hAnsi="Times New Roman"/>
                <w:sz w:val="24"/>
                <w:szCs w:val="24"/>
              </w:rPr>
              <w:t>1, 38</w:t>
            </w:r>
            <w:r w:rsidRPr="008B7F94">
              <w:rPr>
                <w:rFonts w:ascii="Times New Roman" w:hAnsi="Times New Roman"/>
                <w:sz w:val="24"/>
                <w:szCs w:val="24"/>
              </w:rPr>
              <w:t>]</w:t>
            </w:r>
          </w:p>
        </w:tc>
        <w:tc>
          <w:tcPr>
            <w:tcW w:w="0" w:type="auto"/>
            <w:tcBorders>
              <w:top w:val="single" w:sz="4" w:space="0" w:color="auto"/>
              <w:left w:val="nil"/>
              <w:bottom w:val="nil"/>
              <w:right w:val="nil"/>
            </w:tcBorders>
            <w:vAlign w:val="center"/>
          </w:tcPr>
          <w:p w:rsidR="00D03C79" w:rsidRPr="008B7F94" w:rsidRDefault="00D03C79" w:rsidP="00370D40">
            <w:pPr>
              <w:pStyle w:val="TBLROW"/>
              <w:tabs>
                <w:tab w:val="left" w:pos="360"/>
              </w:tabs>
              <w:spacing w:before="120" w:after="0" w:line="240" w:lineRule="auto"/>
              <w:jc w:val="both"/>
              <w:rPr>
                <w:rFonts w:ascii="Times New Roman" w:hAnsi="Times New Roman"/>
                <w:sz w:val="24"/>
                <w:szCs w:val="24"/>
              </w:rPr>
            </w:pPr>
            <w:r w:rsidRPr="008B7F94">
              <w:rPr>
                <w:rFonts w:ascii="Times New Roman" w:hAnsi="Times New Roman"/>
                <w:sz w:val="24"/>
                <w:szCs w:val="24"/>
              </w:rPr>
              <w:t>2.5</w:t>
            </w:r>
          </w:p>
        </w:tc>
        <w:tc>
          <w:tcPr>
            <w:tcW w:w="0" w:type="auto"/>
            <w:tcBorders>
              <w:top w:val="single" w:sz="4" w:space="0" w:color="auto"/>
              <w:left w:val="nil"/>
              <w:bottom w:val="nil"/>
              <w:right w:val="nil"/>
            </w:tcBorders>
            <w:vAlign w:val="center"/>
          </w:tcPr>
          <w:p w:rsidR="00D03C79" w:rsidRPr="008B7F94" w:rsidRDefault="00D03C79" w:rsidP="00FF0B07">
            <w:pPr>
              <w:pStyle w:val="TBLROW"/>
              <w:tabs>
                <w:tab w:val="left" w:pos="360"/>
              </w:tabs>
              <w:spacing w:before="120" w:after="0" w:line="240" w:lineRule="auto"/>
              <w:jc w:val="both"/>
              <w:rPr>
                <w:rFonts w:ascii="Times New Roman" w:hAnsi="Times New Roman"/>
                <w:sz w:val="24"/>
                <w:szCs w:val="24"/>
              </w:rPr>
            </w:pPr>
            <w:r w:rsidRPr="008B7F94">
              <w:rPr>
                <w:rFonts w:ascii="Times New Roman" w:hAnsi="Times New Roman"/>
                <w:sz w:val="24"/>
                <w:szCs w:val="24"/>
              </w:rPr>
              <w:t>[</w:t>
            </w:r>
            <w:r w:rsidR="0091321B" w:rsidRPr="008B7F94">
              <w:rPr>
                <w:rFonts w:ascii="Times New Roman" w:hAnsi="Times New Roman"/>
                <w:sz w:val="24"/>
                <w:szCs w:val="24"/>
              </w:rPr>
              <w:t>1, 38</w:t>
            </w:r>
            <w:r w:rsidRPr="008B7F94">
              <w:rPr>
                <w:rFonts w:ascii="Times New Roman" w:hAnsi="Times New Roman"/>
                <w:sz w:val="24"/>
                <w:szCs w:val="24"/>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pStyle w:val="TBLROW"/>
              <w:tabs>
                <w:tab w:val="left" w:pos="360"/>
              </w:tabs>
              <w:spacing w:before="120" w:after="0" w:line="240" w:lineRule="auto"/>
              <w:ind w:right="53"/>
              <w:jc w:val="both"/>
              <w:rPr>
                <w:rFonts w:ascii="Times New Roman" w:hAnsi="Times New Roman"/>
                <w:sz w:val="24"/>
                <w:szCs w:val="24"/>
              </w:rPr>
            </w:pPr>
            <w:proofErr w:type="spellStart"/>
            <w:r w:rsidRPr="008B7F94">
              <w:rPr>
                <w:rFonts w:ascii="Times New Roman" w:hAnsi="Times New Roman"/>
                <w:i/>
                <w:iCs/>
                <w:sz w:val="24"/>
                <w:szCs w:val="24"/>
              </w:rPr>
              <w:t>n</w:t>
            </w:r>
            <w:r w:rsidRPr="008B7F94">
              <w:rPr>
                <w:rFonts w:ascii="Times New Roman" w:hAnsi="Times New Roman"/>
                <w:i/>
                <w:iCs/>
                <w:sz w:val="24"/>
                <w:szCs w:val="24"/>
                <w:vertAlign w:val="subscript"/>
              </w:rPr>
              <w:t>cyc</w:t>
            </w:r>
            <w:proofErr w:type="spellEnd"/>
          </w:p>
        </w:tc>
        <w:tc>
          <w:tcPr>
            <w:tcW w:w="0" w:type="auto"/>
            <w:tcBorders>
              <w:top w:val="nil"/>
              <w:left w:val="nil"/>
              <w:bottom w:val="nil"/>
              <w:right w:val="nil"/>
            </w:tcBorders>
            <w:vAlign w:val="center"/>
          </w:tcPr>
          <w:p w:rsidR="00D03C79" w:rsidRPr="008B7F94" w:rsidRDefault="00D03C79" w:rsidP="00370D40">
            <w:pPr>
              <w:pStyle w:val="TBLROW"/>
              <w:tabs>
                <w:tab w:val="left" w:pos="360"/>
              </w:tabs>
              <w:spacing w:before="120" w:after="0" w:line="240" w:lineRule="auto"/>
              <w:ind w:left="149" w:hanging="149"/>
              <w:jc w:val="both"/>
              <w:rPr>
                <w:rFonts w:ascii="Times New Roman" w:hAnsi="Times New Roman"/>
                <w:sz w:val="24"/>
                <w:szCs w:val="24"/>
              </w:rPr>
            </w:pPr>
            <w:r w:rsidRPr="008B7F94">
              <w:rPr>
                <w:rFonts w:ascii="Times New Roman" w:hAnsi="Times New Roman"/>
                <w:sz w:val="24"/>
                <w:szCs w:val="24"/>
              </w:rPr>
              <w:t>2.5</w:t>
            </w:r>
          </w:p>
        </w:tc>
        <w:tc>
          <w:tcPr>
            <w:tcW w:w="0" w:type="auto"/>
            <w:tcBorders>
              <w:top w:val="nil"/>
              <w:left w:val="nil"/>
              <w:bottom w:val="nil"/>
              <w:right w:val="nil"/>
            </w:tcBorders>
            <w:vAlign w:val="center"/>
          </w:tcPr>
          <w:p w:rsidR="00D03C79" w:rsidRPr="008B7F94" w:rsidRDefault="00D03C79" w:rsidP="00FF0B07">
            <w:pPr>
              <w:pStyle w:val="TBLROW"/>
              <w:tabs>
                <w:tab w:val="left" w:pos="360"/>
              </w:tabs>
              <w:spacing w:before="120" w:after="0" w:line="240" w:lineRule="auto"/>
              <w:jc w:val="both"/>
              <w:rPr>
                <w:rFonts w:ascii="Times New Roman" w:hAnsi="Times New Roman"/>
                <w:sz w:val="24"/>
                <w:szCs w:val="24"/>
              </w:rPr>
            </w:pPr>
            <w:r w:rsidRPr="008B7F94">
              <w:rPr>
                <w:rFonts w:ascii="Times New Roman" w:hAnsi="Times New Roman"/>
                <w:sz w:val="24"/>
                <w:szCs w:val="24"/>
              </w:rPr>
              <w:t>[</w:t>
            </w:r>
            <w:r w:rsidR="0091321B" w:rsidRPr="008B7F94">
              <w:rPr>
                <w:rFonts w:ascii="Times New Roman" w:hAnsi="Times New Roman"/>
                <w:sz w:val="24"/>
                <w:szCs w:val="24"/>
              </w:rPr>
              <w:t>1,  25-28</w:t>
            </w:r>
            <w:r w:rsidRPr="008B7F94">
              <w:rPr>
                <w:rFonts w:ascii="Times New Roman" w:hAnsi="Times New Roman"/>
                <w:sz w:val="24"/>
                <w:szCs w:val="24"/>
              </w:rPr>
              <w:t>]</w:t>
            </w:r>
          </w:p>
        </w:tc>
        <w:tc>
          <w:tcPr>
            <w:tcW w:w="0" w:type="auto"/>
            <w:tcBorders>
              <w:top w:val="nil"/>
              <w:left w:val="nil"/>
              <w:bottom w:val="nil"/>
              <w:right w:val="nil"/>
            </w:tcBorders>
            <w:vAlign w:val="center"/>
          </w:tcPr>
          <w:p w:rsidR="00D03C79" w:rsidRPr="008B7F94" w:rsidRDefault="00D03C79" w:rsidP="00370D40">
            <w:pPr>
              <w:pStyle w:val="TBLROW"/>
              <w:tabs>
                <w:tab w:val="left" w:pos="360"/>
              </w:tabs>
              <w:spacing w:before="120" w:after="0" w:line="240" w:lineRule="auto"/>
              <w:jc w:val="both"/>
              <w:rPr>
                <w:rFonts w:ascii="Times New Roman" w:hAnsi="Times New Roman"/>
                <w:sz w:val="24"/>
                <w:szCs w:val="24"/>
              </w:rPr>
            </w:pPr>
            <w:r w:rsidRPr="008B7F94">
              <w:rPr>
                <w:rFonts w:ascii="Times New Roman" w:hAnsi="Times New Roman"/>
                <w:sz w:val="24"/>
                <w:szCs w:val="24"/>
              </w:rPr>
              <w:t>2.5</w:t>
            </w:r>
          </w:p>
        </w:tc>
        <w:tc>
          <w:tcPr>
            <w:tcW w:w="0" w:type="auto"/>
            <w:tcBorders>
              <w:top w:val="nil"/>
              <w:left w:val="nil"/>
              <w:bottom w:val="nil"/>
              <w:right w:val="nil"/>
            </w:tcBorders>
            <w:vAlign w:val="center"/>
          </w:tcPr>
          <w:p w:rsidR="00D03C79" w:rsidRPr="008B7F94" w:rsidRDefault="00D03C79" w:rsidP="00FF0B07">
            <w:pPr>
              <w:pStyle w:val="TBLROW"/>
              <w:tabs>
                <w:tab w:val="left" w:pos="360"/>
              </w:tabs>
              <w:spacing w:before="120" w:after="0" w:line="240" w:lineRule="auto"/>
              <w:jc w:val="both"/>
              <w:rPr>
                <w:rFonts w:ascii="Times New Roman" w:hAnsi="Times New Roman"/>
                <w:sz w:val="24"/>
                <w:szCs w:val="24"/>
              </w:rPr>
            </w:pPr>
            <w:r w:rsidRPr="008B7F94">
              <w:rPr>
                <w:rFonts w:ascii="Times New Roman" w:hAnsi="Times New Roman"/>
                <w:sz w:val="24"/>
                <w:szCs w:val="24"/>
              </w:rPr>
              <w:t>[</w:t>
            </w:r>
            <w:r w:rsidR="0091321B" w:rsidRPr="008B7F94">
              <w:rPr>
                <w:rFonts w:ascii="Times New Roman" w:hAnsi="Times New Roman"/>
                <w:sz w:val="24"/>
                <w:szCs w:val="24"/>
              </w:rPr>
              <w:t>1,  25-28</w:t>
            </w:r>
            <w:r w:rsidRPr="008B7F94">
              <w:rPr>
                <w:rFonts w:ascii="Times New Roman" w:hAnsi="Times New Roman"/>
                <w:sz w:val="24"/>
                <w:szCs w:val="24"/>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autoSpaceDE w:val="0"/>
              <w:autoSpaceDN w:val="0"/>
              <w:adjustRightInd w:val="0"/>
              <w:spacing w:before="120" w:line="240" w:lineRule="auto"/>
              <w:ind w:right="53"/>
              <w:rPr>
                <w:rFonts w:ascii="Arial" w:hAnsi="Arial" w:cs="Arial"/>
                <w:lang w:val="en-US"/>
              </w:rPr>
            </w:pPr>
            <w:proofErr w:type="spellStart"/>
            <w:r w:rsidRPr="008B7F94">
              <w:rPr>
                <w:i/>
                <w:lang w:val="en-US"/>
              </w:rPr>
              <w:t>Ca</w:t>
            </w:r>
            <w:r w:rsidRPr="008B7F94">
              <w:rPr>
                <w:i/>
                <w:vertAlign w:val="subscript"/>
                <w:lang w:val="en-US"/>
              </w:rPr>
              <w:t>dark</w:t>
            </w:r>
            <w:proofErr w:type="spellEnd"/>
            <w:r w:rsidRPr="008B7F94">
              <w:rPr>
                <w:lang w:val="en-US"/>
              </w:rPr>
              <w:t>,</w:t>
            </w:r>
            <w:r w:rsidRPr="008B7F94">
              <w:rPr>
                <w:rFonts w:ascii="Arial" w:hAnsi="Arial" w:cs="Arial"/>
                <w:lang w:val="en-US"/>
              </w:rPr>
              <w:t xml:space="preserve"> </w:t>
            </w:r>
            <w:r w:rsidRPr="008B7F94">
              <w:rPr>
                <w:rFonts w:ascii="Symbol" w:hAnsi="Symbol" w:cs="Arial"/>
                <w:lang w:val="en-US"/>
              </w:rPr>
              <w:t></w:t>
            </w:r>
            <w:r w:rsidRPr="008B7F94">
              <w:rPr>
                <w:lang w:val="en-US"/>
              </w:rPr>
              <w:t>M</w:t>
            </w:r>
          </w:p>
        </w:tc>
        <w:tc>
          <w:tcPr>
            <w:tcW w:w="0" w:type="auto"/>
            <w:tcBorders>
              <w:top w:val="nil"/>
              <w:left w:val="nil"/>
              <w:bottom w:val="nil"/>
              <w:right w:val="nil"/>
            </w:tcBorders>
            <w:vAlign w:val="center"/>
          </w:tcPr>
          <w:p w:rsidR="00D03C79" w:rsidRPr="008B7F94" w:rsidRDefault="00D03C79" w:rsidP="00370D40">
            <w:pPr>
              <w:autoSpaceDE w:val="0"/>
              <w:autoSpaceDN w:val="0"/>
              <w:adjustRightInd w:val="0"/>
              <w:spacing w:before="120" w:line="240" w:lineRule="auto"/>
              <w:ind w:left="149" w:hanging="149"/>
              <w:rPr>
                <w:lang w:val="en-US"/>
              </w:rPr>
            </w:pPr>
            <w:r w:rsidRPr="008B7F94">
              <w:rPr>
                <w:lang w:val="en-US"/>
              </w:rPr>
              <w:t>0.5</w:t>
            </w:r>
          </w:p>
        </w:tc>
        <w:tc>
          <w:tcPr>
            <w:tcW w:w="0" w:type="auto"/>
            <w:tcBorders>
              <w:top w:val="nil"/>
              <w:left w:val="nil"/>
              <w:bottom w:val="nil"/>
              <w:right w:val="nil"/>
            </w:tcBorders>
            <w:vAlign w:val="center"/>
          </w:tcPr>
          <w:p w:rsidR="00D03C79" w:rsidRPr="008B7F94" w:rsidRDefault="00D03C79" w:rsidP="00FF0B07">
            <w:pPr>
              <w:autoSpaceDE w:val="0"/>
              <w:autoSpaceDN w:val="0"/>
              <w:adjustRightInd w:val="0"/>
              <w:spacing w:before="120" w:line="240" w:lineRule="auto"/>
              <w:rPr>
                <w:lang w:val="en-US"/>
              </w:rPr>
            </w:pPr>
            <w:r w:rsidRPr="008B7F94">
              <w:rPr>
                <w:lang w:val="en-US"/>
              </w:rPr>
              <w:t>[</w:t>
            </w:r>
            <w:r w:rsidR="0091321B" w:rsidRPr="008B7F94">
              <w:rPr>
                <w:lang w:val="en-US"/>
              </w:rPr>
              <w:t>1</w:t>
            </w:r>
            <w:r w:rsidRPr="008B7F94">
              <w:rPr>
                <w:lang w:val="en-US"/>
              </w:rPr>
              <w:t>]</w:t>
            </w:r>
          </w:p>
        </w:tc>
        <w:tc>
          <w:tcPr>
            <w:tcW w:w="0" w:type="auto"/>
            <w:tcBorders>
              <w:top w:val="nil"/>
              <w:left w:val="nil"/>
              <w:bottom w:val="nil"/>
              <w:right w:val="nil"/>
            </w:tcBorders>
            <w:vAlign w:val="center"/>
          </w:tcPr>
          <w:p w:rsidR="00D03C79" w:rsidRPr="008B7F94" w:rsidRDefault="00D03C79" w:rsidP="00370D40">
            <w:pPr>
              <w:autoSpaceDE w:val="0"/>
              <w:autoSpaceDN w:val="0"/>
              <w:adjustRightInd w:val="0"/>
              <w:spacing w:before="120" w:line="240" w:lineRule="auto"/>
              <w:rPr>
                <w:lang w:val="en-US"/>
              </w:rPr>
            </w:pPr>
            <w:r w:rsidRPr="008B7F94">
              <w:rPr>
                <w:lang w:val="en-US"/>
              </w:rPr>
              <w:t>0.5</w:t>
            </w:r>
          </w:p>
        </w:tc>
        <w:tc>
          <w:tcPr>
            <w:tcW w:w="0" w:type="auto"/>
            <w:tcBorders>
              <w:top w:val="nil"/>
              <w:left w:val="nil"/>
              <w:bottom w:val="nil"/>
              <w:right w:val="nil"/>
            </w:tcBorders>
            <w:vAlign w:val="center"/>
          </w:tcPr>
          <w:p w:rsidR="00D03C79" w:rsidRPr="008B7F94" w:rsidRDefault="00D03C79" w:rsidP="00FF0B07">
            <w:pPr>
              <w:autoSpaceDE w:val="0"/>
              <w:autoSpaceDN w:val="0"/>
              <w:adjustRightInd w:val="0"/>
              <w:spacing w:before="120" w:line="240" w:lineRule="auto"/>
              <w:rPr>
                <w:lang w:val="en-US"/>
              </w:rPr>
            </w:pPr>
            <w:r w:rsidRPr="008B7F94">
              <w:rPr>
                <w:lang w:val="en-US"/>
              </w:rPr>
              <w:t>[</w:t>
            </w:r>
            <w:r w:rsidR="0091321B" w:rsidRPr="008B7F94">
              <w:rPr>
                <w:lang w:val="en-US"/>
              </w:rPr>
              <w:t>1, 4</w:t>
            </w:r>
            <w:r w:rsidR="00FF0B07" w:rsidRPr="008B7F94">
              <w:rPr>
                <w:lang w:val="en-US"/>
              </w:rPr>
              <w:t>5</w:t>
            </w: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pStyle w:val="TBLROW"/>
              <w:tabs>
                <w:tab w:val="left" w:pos="360"/>
              </w:tabs>
              <w:spacing w:before="120" w:after="0" w:line="240" w:lineRule="auto"/>
              <w:ind w:right="53"/>
              <w:jc w:val="both"/>
              <w:rPr>
                <w:rFonts w:cs="Arial"/>
                <w:sz w:val="24"/>
                <w:szCs w:val="24"/>
              </w:rPr>
            </w:pPr>
            <w:proofErr w:type="spellStart"/>
            <w:r w:rsidRPr="008B7F94">
              <w:rPr>
                <w:rFonts w:ascii="Times New Roman" w:hAnsi="Times New Roman"/>
                <w:i/>
                <w:sz w:val="24"/>
                <w:szCs w:val="24"/>
              </w:rPr>
              <w:t>K</w:t>
            </w:r>
            <w:r w:rsidRPr="008B7F94">
              <w:rPr>
                <w:rFonts w:ascii="Times New Roman" w:hAnsi="Times New Roman"/>
                <w:i/>
                <w:sz w:val="24"/>
                <w:szCs w:val="24"/>
                <w:vertAlign w:val="subscript"/>
              </w:rPr>
              <w:t>Ex</w:t>
            </w:r>
            <w:proofErr w:type="spellEnd"/>
            <w:r w:rsidRPr="008B7F94">
              <w:rPr>
                <w:rFonts w:cs="Arial"/>
                <w:sz w:val="24"/>
                <w:szCs w:val="24"/>
              </w:rPr>
              <w:t xml:space="preserve">, </w:t>
            </w:r>
            <w:r w:rsidRPr="008B7F94">
              <w:rPr>
                <w:rFonts w:ascii="Symbol" w:hAnsi="Symbol" w:cs="Arial"/>
                <w:sz w:val="24"/>
                <w:szCs w:val="24"/>
                <w:lang w:val="en-US"/>
              </w:rPr>
              <w:t></w:t>
            </w:r>
            <w:r w:rsidRPr="008B7F94">
              <w:rPr>
                <w:rFonts w:ascii="Times New Roman" w:hAnsi="Times New Roman"/>
                <w:sz w:val="24"/>
                <w:szCs w:val="24"/>
                <w:lang w:val="en-US"/>
              </w:rPr>
              <w:t>M</w:t>
            </w:r>
          </w:p>
        </w:tc>
        <w:tc>
          <w:tcPr>
            <w:tcW w:w="0" w:type="auto"/>
            <w:tcBorders>
              <w:top w:val="nil"/>
              <w:left w:val="nil"/>
              <w:bottom w:val="nil"/>
              <w:right w:val="nil"/>
            </w:tcBorders>
            <w:vAlign w:val="center"/>
          </w:tcPr>
          <w:p w:rsidR="00D03C79" w:rsidRPr="008B7F94" w:rsidRDefault="00D03C79" w:rsidP="00370D40">
            <w:pPr>
              <w:autoSpaceDE w:val="0"/>
              <w:autoSpaceDN w:val="0"/>
              <w:adjustRightInd w:val="0"/>
              <w:spacing w:before="120" w:line="240" w:lineRule="auto"/>
              <w:ind w:left="149" w:hanging="149"/>
              <w:rPr>
                <w:lang w:val="en-US"/>
              </w:rPr>
            </w:pPr>
            <w:r w:rsidRPr="008B7F94">
              <w:t>1.</w:t>
            </w:r>
            <w:r w:rsidRPr="008B7F94">
              <w:rPr>
                <w:lang w:val="en-US"/>
              </w:rPr>
              <w:t>66</w:t>
            </w:r>
          </w:p>
        </w:tc>
        <w:tc>
          <w:tcPr>
            <w:tcW w:w="0" w:type="auto"/>
            <w:tcBorders>
              <w:top w:val="nil"/>
              <w:left w:val="nil"/>
              <w:bottom w:val="nil"/>
              <w:right w:val="nil"/>
            </w:tcBorders>
            <w:vAlign w:val="center"/>
          </w:tcPr>
          <w:p w:rsidR="00D03C79" w:rsidRPr="008B7F94" w:rsidRDefault="00D03C79" w:rsidP="00FF0B07">
            <w:pPr>
              <w:autoSpaceDE w:val="0"/>
              <w:autoSpaceDN w:val="0"/>
              <w:adjustRightInd w:val="0"/>
              <w:spacing w:before="120" w:line="240" w:lineRule="auto"/>
              <w:rPr>
                <w:lang w:val="en-US"/>
              </w:rPr>
            </w:pPr>
            <w:r w:rsidRPr="008B7F94">
              <w:rPr>
                <w:lang w:val="en-US"/>
              </w:rPr>
              <w:t>[</w:t>
            </w:r>
            <w:r w:rsidR="0091321B" w:rsidRPr="008B7F94">
              <w:rPr>
                <w:lang w:val="en-US"/>
              </w:rPr>
              <w:t>32, 4</w:t>
            </w:r>
            <w:r w:rsidR="00FF0B07" w:rsidRPr="008B7F94">
              <w:rPr>
                <w:lang w:val="en-US"/>
              </w:rPr>
              <w:t>6</w:t>
            </w:r>
            <w:r w:rsidR="0091321B" w:rsidRPr="008B7F94">
              <w:rPr>
                <w:lang w:val="en-US"/>
              </w:rPr>
              <w:t>-4</w:t>
            </w:r>
            <w:r w:rsidR="00FF0B07" w:rsidRPr="008B7F94">
              <w:rPr>
                <w:lang w:val="en-US"/>
              </w:rPr>
              <w:t>8</w:t>
            </w:r>
            <w:r w:rsidRPr="008B7F94">
              <w:rPr>
                <w:lang w:val="en-US"/>
              </w:rPr>
              <w:t>], **</w:t>
            </w:r>
          </w:p>
        </w:tc>
        <w:tc>
          <w:tcPr>
            <w:tcW w:w="0" w:type="auto"/>
            <w:tcBorders>
              <w:top w:val="nil"/>
              <w:left w:val="nil"/>
              <w:bottom w:val="nil"/>
              <w:right w:val="nil"/>
            </w:tcBorders>
            <w:vAlign w:val="center"/>
          </w:tcPr>
          <w:p w:rsidR="00D03C79" w:rsidRPr="008B7F94" w:rsidRDefault="00D03C79" w:rsidP="00370D40">
            <w:pPr>
              <w:autoSpaceDE w:val="0"/>
              <w:autoSpaceDN w:val="0"/>
              <w:adjustRightInd w:val="0"/>
              <w:spacing w:before="120" w:line="240" w:lineRule="auto"/>
              <w:rPr>
                <w:lang w:val="en-US"/>
              </w:rPr>
            </w:pPr>
            <w:r w:rsidRPr="008B7F94">
              <w:rPr>
                <w:lang w:val="en-US"/>
              </w:rPr>
              <w:t>1.66</w:t>
            </w:r>
          </w:p>
        </w:tc>
        <w:tc>
          <w:tcPr>
            <w:tcW w:w="0" w:type="auto"/>
            <w:tcBorders>
              <w:top w:val="nil"/>
              <w:left w:val="nil"/>
              <w:bottom w:val="nil"/>
              <w:right w:val="nil"/>
            </w:tcBorders>
            <w:vAlign w:val="center"/>
          </w:tcPr>
          <w:p w:rsidR="00D03C79" w:rsidRPr="008B7F94" w:rsidRDefault="00D03C79" w:rsidP="00FF0B07">
            <w:pPr>
              <w:autoSpaceDE w:val="0"/>
              <w:autoSpaceDN w:val="0"/>
              <w:adjustRightInd w:val="0"/>
              <w:spacing w:before="120" w:line="240" w:lineRule="auto"/>
              <w:rPr>
                <w:lang w:val="en-US"/>
              </w:rPr>
            </w:pPr>
            <w:r w:rsidRPr="008B7F94">
              <w:rPr>
                <w:lang w:val="en-US"/>
              </w:rPr>
              <w:t>[</w:t>
            </w:r>
            <w:r w:rsidR="0091321B" w:rsidRPr="008B7F94">
              <w:rPr>
                <w:lang w:val="en-US"/>
              </w:rPr>
              <w:t>32, 4</w:t>
            </w:r>
            <w:r w:rsidR="00FF0B07" w:rsidRPr="008B7F94">
              <w:rPr>
                <w:lang w:val="en-US"/>
              </w:rPr>
              <w:t>6</w:t>
            </w:r>
            <w:r w:rsidR="0091321B" w:rsidRPr="008B7F94">
              <w:rPr>
                <w:lang w:val="en-US"/>
              </w:rPr>
              <w:t>-4</w:t>
            </w:r>
            <w:r w:rsidR="00FF0B07" w:rsidRPr="008B7F94">
              <w:rPr>
                <w:lang w:val="en-US"/>
              </w:rPr>
              <w:t>8</w:t>
            </w:r>
            <w:r w:rsidRPr="008B7F94">
              <w:rPr>
                <w:lang w:val="en-US"/>
              </w:rPr>
              <w:t>], **</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pStyle w:val="TBLROW"/>
              <w:tabs>
                <w:tab w:val="left" w:pos="360"/>
              </w:tabs>
              <w:spacing w:before="120" w:after="0" w:line="240" w:lineRule="auto"/>
              <w:ind w:right="53"/>
              <w:jc w:val="both"/>
              <w:rPr>
                <w:rFonts w:ascii="Times New Roman" w:hAnsi="Times New Roman"/>
                <w:i/>
                <w:sz w:val="24"/>
                <w:szCs w:val="24"/>
              </w:rPr>
            </w:pPr>
            <w:proofErr w:type="spellStart"/>
            <w:r w:rsidRPr="008B7F94">
              <w:rPr>
                <w:rFonts w:ascii="Times New Roman" w:hAnsi="Times New Roman"/>
                <w:i/>
                <w:sz w:val="24"/>
                <w:szCs w:val="24"/>
              </w:rPr>
              <w:t>f</w:t>
            </w:r>
            <w:r w:rsidRPr="008B7F94">
              <w:rPr>
                <w:rFonts w:ascii="Times New Roman" w:hAnsi="Times New Roman"/>
                <w:i/>
                <w:sz w:val="24"/>
                <w:szCs w:val="24"/>
                <w:vertAlign w:val="subscript"/>
              </w:rPr>
              <w:t>Ca</w:t>
            </w:r>
            <w:proofErr w:type="spellEnd"/>
          </w:p>
        </w:tc>
        <w:tc>
          <w:tcPr>
            <w:tcW w:w="0" w:type="auto"/>
            <w:tcBorders>
              <w:top w:val="nil"/>
              <w:left w:val="nil"/>
              <w:bottom w:val="nil"/>
              <w:right w:val="nil"/>
            </w:tcBorders>
            <w:vAlign w:val="center"/>
          </w:tcPr>
          <w:p w:rsidR="00D03C79" w:rsidRPr="008B7F94" w:rsidRDefault="00D03C79" w:rsidP="00370D40">
            <w:pPr>
              <w:autoSpaceDE w:val="0"/>
              <w:autoSpaceDN w:val="0"/>
              <w:adjustRightInd w:val="0"/>
              <w:spacing w:before="120" w:line="240" w:lineRule="auto"/>
              <w:ind w:left="149" w:hanging="149"/>
              <w:rPr>
                <w:lang w:val="en-US"/>
              </w:rPr>
            </w:pPr>
            <w:r w:rsidRPr="008B7F94">
              <w:rPr>
                <w:lang w:val="en-US"/>
              </w:rPr>
              <w:t>0.2</w:t>
            </w:r>
          </w:p>
        </w:tc>
        <w:tc>
          <w:tcPr>
            <w:tcW w:w="0" w:type="auto"/>
            <w:tcBorders>
              <w:top w:val="nil"/>
              <w:left w:val="nil"/>
              <w:bottom w:val="nil"/>
              <w:right w:val="nil"/>
            </w:tcBorders>
            <w:vAlign w:val="center"/>
          </w:tcPr>
          <w:p w:rsidR="00D03C79" w:rsidRPr="008B7F94" w:rsidRDefault="00D03C79" w:rsidP="00370D40">
            <w:pPr>
              <w:autoSpaceDE w:val="0"/>
              <w:autoSpaceDN w:val="0"/>
              <w:adjustRightInd w:val="0"/>
              <w:spacing w:before="120" w:line="240" w:lineRule="auto"/>
              <w:rPr>
                <w:lang w:val="en-US"/>
              </w:rPr>
            </w:pPr>
            <w:r w:rsidRPr="008B7F94">
              <w:rPr>
                <w:lang w:val="en-US"/>
              </w:rPr>
              <w:t>***</w:t>
            </w:r>
          </w:p>
        </w:tc>
        <w:tc>
          <w:tcPr>
            <w:tcW w:w="0" w:type="auto"/>
            <w:tcBorders>
              <w:top w:val="nil"/>
              <w:left w:val="nil"/>
              <w:bottom w:val="nil"/>
              <w:right w:val="nil"/>
            </w:tcBorders>
            <w:vAlign w:val="center"/>
          </w:tcPr>
          <w:p w:rsidR="00D03C79" w:rsidRPr="008B7F94" w:rsidRDefault="00D03C79" w:rsidP="00370D40">
            <w:pPr>
              <w:autoSpaceDE w:val="0"/>
              <w:autoSpaceDN w:val="0"/>
              <w:adjustRightInd w:val="0"/>
              <w:spacing w:before="120" w:line="240" w:lineRule="auto"/>
              <w:rPr>
                <w:lang w:val="en-US"/>
              </w:rPr>
            </w:pPr>
            <w:r w:rsidRPr="008B7F94">
              <w:rPr>
                <w:lang w:val="en-US"/>
              </w:rPr>
              <w:t>0.2</w:t>
            </w:r>
          </w:p>
        </w:tc>
        <w:tc>
          <w:tcPr>
            <w:tcW w:w="0" w:type="auto"/>
            <w:tcBorders>
              <w:top w:val="nil"/>
              <w:left w:val="nil"/>
              <w:bottom w:val="nil"/>
              <w:right w:val="nil"/>
            </w:tcBorders>
            <w:vAlign w:val="center"/>
          </w:tcPr>
          <w:p w:rsidR="00D03C79" w:rsidRPr="008B7F94" w:rsidRDefault="00D03C79" w:rsidP="00370D40">
            <w:pPr>
              <w:autoSpaceDE w:val="0"/>
              <w:autoSpaceDN w:val="0"/>
              <w:adjustRightInd w:val="0"/>
              <w:spacing w:before="120" w:line="240" w:lineRule="auto"/>
              <w:rPr>
                <w:i/>
                <w:lang w:val="en-US"/>
              </w:rPr>
            </w:pPr>
            <w:r w:rsidRPr="008B7F94">
              <w:rPr>
                <w:i/>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autoSpaceDE w:val="0"/>
              <w:autoSpaceDN w:val="0"/>
              <w:adjustRightInd w:val="0"/>
              <w:spacing w:before="120" w:line="240" w:lineRule="auto"/>
              <w:ind w:right="53"/>
              <w:rPr>
                <w:lang w:val="en-US"/>
              </w:rPr>
            </w:pPr>
            <w:r w:rsidRPr="008B7F94">
              <w:rPr>
                <w:rFonts w:ascii="Symbol" w:hAnsi="Symbol"/>
                <w:i/>
                <w:iCs/>
                <w:szCs w:val="22"/>
              </w:rPr>
              <w:t></w:t>
            </w:r>
            <w:r w:rsidRPr="008B7F94">
              <w:rPr>
                <w:szCs w:val="22"/>
                <w:vertAlign w:val="subscript"/>
              </w:rPr>
              <w:t>min</w:t>
            </w:r>
            <w:r w:rsidRPr="008B7F94">
              <w:rPr>
                <w:szCs w:val="22"/>
                <w:lang w:val="en-US"/>
              </w:rPr>
              <w:t xml:space="preserve">, </w:t>
            </w:r>
            <w:r w:rsidRPr="008B7F94">
              <w:rPr>
                <w:rFonts w:ascii="Symbol" w:hAnsi="Symbol"/>
                <w:szCs w:val="22"/>
                <w:lang w:val="en-US"/>
              </w:rPr>
              <w:t></w:t>
            </w:r>
            <w:r w:rsidRPr="008B7F94">
              <w:rPr>
                <w:szCs w:val="22"/>
              </w:rPr>
              <w:t>M</w:t>
            </w:r>
            <w:r w:rsidRPr="008B7F94">
              <w:rPr>
                <w:szCs w:val="22"/>
                <w:vertAlign w:val="superscript"/>
              </w:rPr>
              <w:t>.</w:t>
            </w:r>
            <w:r w:rsidRPr="008B7F94">
              <w:rPr>
                <w:szCs w:val="22"/>
              </w:rPr>
              <w:t>s</w:t>
            </w:r>
            <w:r w:rsidRPr="008B7F94">
              <w:rPr>
                <w:szCs w:val="22"/>
                <w:vertAlign w:val="superscript"/>
              </w:rPr>
              <w:t>-1</w:t>
            </w:r>
          </w:p>
        </w:tc>
        <w:tc>
          <w:tcPr>
            <w:tcW w:w="0" w:type="auto"/>
            <w:tcBorders>
              <w:top w:val="nil"/>
              <w:left w:val="nil"/>
              <w:bottom w:val="nil"/>
              <w:right w:val="nil"/>
            </w:tcBorders>
            <w:vAlign w:val="center"/>
          </w:tcPr>
          <w:p w:rsidR="00D03C79" w:rsidRPr="008B7F94" w:rsidRDefault="00D03C79" w:rsidP="00370D40">
            <w:pPr>
              <w:autoSpaceDE w:val="0"/>
              <w:autoSpaceDN w:val="0"/>
              <w:adjustRightInd w:val="0"/>
              <w:spacing w:before="120" w:line="240" w:lineRule="auto"/>
              <w:ind w:left="149" w:hanging="149"/>
              <w:rPr>
                <w:lang w:val="en-US"/>
              </w:rPr>
            </w:pPr>
            <w:r w:rsidRPr="008B7F94">
              <w:rPr>
                <w:lang w:val="en-US"/>
              </w:rPr>
              <w:t>0</w:t>
            </w:r>
          </w:p>
        </w:tc>
        <w:tc>
          <w:tcPr>
            <w:tcW w:w="0" w:type="auto"/>
            <w:tcBorders>
              <w:top w:val="nil"/>
              <w:left w:val="nil"/>
              <w:bottom w:val="nil"/>
              <w:right w:val="nil"/>
            </w:tcBorders>
            <w:vAlign w:val="center"/>
          </w:tcPr>
          <w:p w:rsidR="00D03C79" w:rsidRPr="008B7F94" w:rsidRDefault="00D03C79" w:rsidP="00FF0B07">
            <w:pPr>
              <w:autoSpaceDE w:val="0"/>
              <w:autoSpaceDN w:val="0"/>
              <w:adjustRightInd w:val="0"/>
              <w:spacing w:before="120" w:line="240" w:lineRule="auto"/>
              <w:rPr>
                <w:lang w:val="en-US"/>
              </w:rPr>
            </w:pPr>
            <w:r w:rsidRPr="008B7F94">
              <w:rPr>
                <w:lang w:val="en-US"/>
              </w:rPr>
              <w:t>[</w:t>
            </w:r>
            <w:r w:rsidR="00FF0B07" w:rsidRPr="008B7F94">
              <w:rPr>
                <w:lang w:val="en-US"/>
              </w:rPr>
              <w:t>1</w:t>
            </w:r>
            <w:r w:rsidR="000602E6" w:rsidRPr="008B7F94">
              <w:rPr>
                <w:lang w:val="en-US"/>
              </w:rPr>
              <w:t>, 28</w:t>
            </w:r>
            <w:r w:rsidRPr="008B7F94">
              <w:rPr>
                <w:lang w:val="en-US"/>
              </w:rPr>
              <w:t>]</w:t>
            </w:r>
          </w:p>
        </w:tc>
        <w:tc>
          <w:tcPr>
            <w:tcW w:w="0" w:type="auto"/>
            <w:tcBorders>
              <w:top w:val="nil"/>
              <w:left w:val="nil"/>
              <w:bottom w:val="nil"/>
              <w:right w:val="nil"/>
            </w:tcBorders>
            <w:vAlign w:val="center"/>
          </w:tcPr>
          <w:p w:rsidR="00D03C79" w:rsidRPr="008B7F94" w:rsidRDefault="00D03C79" w:rsidP="00370D40">
            <w:pPr>
              <w:autoSpaceDE w:val="0"/>
              <w:autoSpaceDN w:val="0"/>
              <w:adjustRightInd w:val="0"/>
              <w:spacing w:before="120" w:line="240" w:lineRule="auto"/>
              <w:rPr>
                <w:lang w:val="en-US"/>
              </w:rPr>
            </w:pPr>
            <w:r w:rsidRPr="008B7F94">
              <w:rPr>
                <w:lang w:val="en-US"/>
              </w:rPr>
              <w:t>0</w:t>
            </w:r>
          </w:p>
        </w:tc>
        <w:tc>
          <w:tcPr>
            <w:tcW w:w="0" w:type="auto"/>
            <w:tcBorders>
              <w:top w:val="nil"/>
              <w:left w:val="nil"/>
              <w:bottom w:val="nil"/>
              <w:right w:val="nil"/>
            </w:tcBorders>
            <w:vAlign w:val="center"/>
          </w:tcPr>
          <w:p w:rsidR="00D03C79" w:rsidRPr="008B7F94" w:rsidRDefault="00D03C79" w:rsidP="00FF0B07">
            <w:pPr>
              <w:autoSpaceDE w:val="0"/>
              <w:autoSpaceDN w:val="0"/>
              <w:adjustRightInd w:val="0"/>
              <w:spacing w:before="120" w:line="240" w:lineRule="auto"/>
              <w:rPr>
                <w:lang w:val="en-US"/>
              </w:rPr>
            </w:pPr>
            <w:r w:rsidRPr="008B7F94">
              <w:rPr>
                <w:lang w:val="en-US"/>
              </w:rPr>
              <w:t>[</w:t>
            </w:r>
            <w:r w:rsidR="000602E6" w:rsidRPr="008B7F94">
              <w:rPr>
                <w:lang w:val="en-US"/>
              </w:rPr>
              <w:t>1, 28</w:t>
            </w: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pStyle w:val="TBLROW"/>
              <w:tabs>
                <w:tab w:val="left" w:pos="360"/>
              </w:tabs>
              <w:spacing w:before="120" w:after="0" w:line="240" w:lineRule="auto"/>
              <w:ind w:right="53"/>
              <w:jc w:val="both"/>
              <w:rPr>
                <w:rFonts w:ascii="Times New Roman" w:hAnsi="Times New Roman"/>
                <w:i/>
                <w:sz w:val="24"/>
                <w:szCs w:val="24"/>
              </w:rPr>
            </w:pPr>
            <w:r w:rsidRPr="008B7F94">
              <w:rPr>
                <w:rFonts w:ascii="Symbol" w:hAnsi="Symbol"/>
                <w:i/>
                <w:iCs/>
                <w:sz w:val="24"/>
                <w:szCs w:val="24"/>
              </w:rPr>
              <w:t></w:t>
            </w:r>
            <w:r w:rsidRPr="008B7F94">
              <w:rPr>
                <w:rFonts w:ascii="Times New Roman" w:hAnsi="Times New Roman"/>
                <w:sz w:val="24"/>
                <w:szCs w:val="24"/>
                <w:vertAlign w:val="subscript"/>
              </w:rPr>
              <w:t>max</w:t>
            </w:r>
            <w:r w:rsidRPr="008B7F94">
              <w:rPr>
                <w:rFonts w:ascii="Times New Roman" w:hAnsi="Times New Roman"/>
                <w:sz w:val="24"/>
                <w:szCs w:val="24"/>
              </w:rPr>
              <w:t>/</w:t>
            </w:r>
            <w:r w:rsidRPr="008B7F94">
              <w:rPr>
                <w:rFonts w:ascii="Symbol" w:hAnsi="Symbol"/>
                <w:i/>
                <w:iCs/>
                <w:sz w:val="24"/>
                <w:szCs w:val="24"/>
              </w:rPr>
              <w:t></w:t>
            </w:r>
            <w:r w:rsidRPr="008B7F94">
              <w:rPr>
                <w:rFonts w:ascii="Times New Roman" w:hAnsi="Times New Roman"/>
                <w:i/>
                <w:sz w:val="24"/>
                <w:szCs w:val="24"/>
                <w:vertAlign w:val="subscript"/>
              </w:rPr>
              <w:t>dark</w:t>
            </w:r>
          </w:p>
        </w:tc>
        <w:tc>
          <w:tcPr>
            <w:tcW w:w="0" w:type="auto"/>
            <w:tcBorders>
              <w:top w:val="nil"/>
              <w:left w:val="nil"/>
              <w:bottom w:val="nil"/>
              <w:right w:val="nil"/>
            </w:tcBorders>
            <w:vAlign w:val="center"/>
          </w:tcPr>
          <w:p w:rsidR="00D03C79" w:rsidRPr="008B7F94" w:rsidRDefault="00D03C79" w:rsidP="00370D40">
            <w:pPr>
              <w:autoSpaceDE w:val="0"/>
              <w:autoSpaceDN w:val="0"/>
              <w:adjustRightInd w:val="0"/>
              <w:spacing w:before="120" w:line="240" w:lineRule="auto"/>
              <w:ind w:left="149" w:hanging="149"/>
              <w:rPr>
                <w:lang w:val="en-US"/>
              </w:rPr>
            </w:pPr>
            <w:r w:rsidRPr="008B7F94">
              <w:rPr>
                <w:lang w:val="en-US"/>
              </w:rPr>
              <w:t>10</w:t>
            </w:r>
          </w:p>
        </w:tc>
        <w:tc>
          <w:tcPr>
            <w:tcW w:w="0" w:type="auto"/>
            <w:tcBorders>
              <w:top w:val="nil"/>
              <w:left w:val="nil"/>
              <w:bottom w:val="nil"/>
              <w:right w:val="nil"/>
            </w:tcBorders>
            <w:vAlign w:val="center"/>
          </w:tcPr>
          <w:p w:rsidR="00D03C79" w:rsidRPr="008B7F94" w:rsidRDefault="00D03C79" w:rsidP="00FF0B07">
            <w:pPr>
              <w:pStyle w:val="TBLROW"/>
              <w:tabs>
                <w:tab w:val="left" w:pos="360"/>
              </w:tabs>
              <w:spacing w:before="120" w:after="0" w:line="240" w:lineRule="auto"/>
              <w:jc w:val="both"/>
              <w:rPr>
                <w:rFonts w:ascii="Times New Roman" w:hAnsi="Times New Roman"/>
                <w:sz w:val="24"/>
                <w:szCs w:val="24"/>
              </w:rPr>
            </w:pPr>
            <w:r w:rsidRPr="008B7F94">
              <w:rPr>
                <w:rFonts w:ascii="Times New Roman" w:hAnsi="Times New Roman"/>
                <w:sz w:val="24"/>
                <w:szCs w:val="24"/>
              </w:rPr>
              <w:t>[</w:t>
            </w:r>
            <w:r w:rsidR="000602E6" w:rsidRPr="008B7F94">
              <w:rPr>
                <w:rFonts w:ascii="Times New Roman" w:hAnsi="Times New Roman"/>
                <w:sz w:val="24"/>
                <w:szCs w:val="24"/>
              </w:rPr>
              <w:t>25, 35</w:t>
            </w:r>
            <w:r w:rsidRPr="008B7F94">
              <w:rPr>
                <w:rFonts w:ascii="Times New Roman" w:hAnsi="Times New Roman"/>
                <w:sz w:val="24"/>
                <w:szCs w:val="24"/>
              </w:rPr>
              <w:t>]</w:t>
            </w:r>
          </w:p>
        </w:tc>
        <w:tc>
          <w:tcPr>
            <w:tcW w:w="0" w:type="auto"/>
            <w:tcBorders>
              <w:top w:val="nil"/>
              <w:left w:val="nil"/>
              <w:bottom w:val="nil"/>
              <w:right w:val="nil"/>
            </w:tcBorders>
            <w:vAlign w:val="center"/>
          </w:tcPr>
          <w:p w:rsidR="00D03C79" w:rsidRPr="008B7F94" w:rsidRDefault="00D03C79" w:rsidP="00370D40">
            <w:pPr>
              <w:pStyle w:val="TBLROW"/>
              <w:tabs>
                <w:tab w:val="left" w:pos="360"/>
              </w:tabs>
              <w:spacing w:before="120" w:after="0" w:line="240" w:lineRule="auto"/>
              <w:jc w:val="both"/>
              <w:rPr>
                <w:rFonts w:ascii="Times New Roman" w:hAnsi="Times New Roman"/>
                <w:sz w:val="24"/>
                <w:szCs w:val="24"/>
              </w:rPr>
            </w:pPr>
            <w:r w:rsidRPr="008B7F94">
              <w:rPr>
                <w:rFonts w:ascii="Times New Roman" w:hAnsi="Times New Roman"/>
                <w:sz w:val="24"/>
                <w:szCs w:val="24"/>
              </w:rPr>
              <w:t>10</w:t>
            </w:r>
          </w:p>
        </w:tc>
        <w:tc>
          <w:tcPr>
            <w:tcW w:w="0" w:type="auto"/>
            <w:tcBorders>
              <w:top w:val="nil"/>
              <w:left w:val="nil"/>
              <w:bottom w:val="nil"/>
              <w:right w:val="nil"/>
            </w:tcBorders>
            <w:vAlign w:val="center"/>
          </w:tcPr>
          <w:p w:rsidR="00D03C79" w:rsidRPr="008B7F94" w:rsidRDefault="00D03C79" w:rsidP="00FF0B07">
            <w:pPr>
              <w:pStyle w:val="TBLROW"/>
              <w:tabs>
                <w:tab w:val="left" w:pos="360"/>
              </w:tabs>
              <w:spacing w:before="120" w:after="0" w:line="240" w:lineRule="auto"/>
              <w:jc w:val="both"/>
              <w:rPr>
                <w:rFonts w:ascii="Times New Roman" w:hAnsi="Times New Roman"/>
                <w:sz w:val="24"/>
                <w:szCs w:val="24"/>
              </w:rPr>
            </w:pPr>
            <w:r w:rsidRPr="008B7F94">
              <w:rPr>
                <w:rFonts w:ascii="Times New Roman" w:hAnsi="Times New Roman"/>
                <w:sz w:val="24"/>
                <w:szCs w:val="24"/>
              </w:rPr>
              <w:t>[</w:t>
            </w:r>
            <w:r w:rsidR="000602E6" w:rsidRPr="008B7F94">
              <w:rPr>
                <w:rFonts w:ascii="Times New Roman" w:hAnsi="Times New Roman"/>
                <w:sz w:val="24"/>
                <w:szCs w:val="24"/>
              </w:rPr>
              <w:t>25, 35</w:t>
            </w:r>
            <w:r w:rsidRPr="008B7F94">
              <w:rPr>
                <w:rFonts w:ascii="Times New Roman" w:hAnsi="Times New Roman"/>
                <w:sz w:val="24"/>
                <w:szCs w:val="24"/>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autoSpaceDE w:val="0"/>
              <w:autoSpaceDN w:val="0"/>
              <w:adjustRightInd w:val="0"/>
              <w:spacing w:before="120" w:line="240" w:lineRule="auto"/>
              <w:ind w:right="53"/>
              <w:rPr>
                <w:lang w:val="en-US"/>
              </w:rPr>
            </w:pPr>
            <w:proofErr w:type="spellStart"/>
            <w:r w:rsidRPr="008B7F94">
              <w:rPr>
                <w:i/>
                <w:iCs/>
                <w:szCs w:val="22"/>
                <w:lang w:val="en-US"/>
              </w:rPr>
              <w:t>K</w:t>
            </w:r>
            <w:r w:rsidRPr="008B7F94">
              <w:rPr>
                <w:i/>
                <w:iCs/>
                <w:szCs w:val="22"/>
                <w:vertAlign w:val="subscript"/>
                <w:lang w:val="en-US"/>
              </w:rPr>
              <w:t>cyc</w:t>
            </w:r>
            <w:proofErr w:type="spellEnd"/>
            <w:r w:rsidRPr="008B7F94">
              <w:rPr>
                <w:iCs/>
                <w:szCs w:val="22"/>
                <w:lang w:val="en-US"/>
              </w:rPr>
              <w:t xml:space="preserve">, </w:t>
            </w:r>
            <w:r w:rsidRPr="008B7F94">
              <w:rPr>
                <w:rFonts w:ascii="Symbol" w:hAnsi="Symbol" w:cs="Arial"/>
                <w:lang w:val="en-US"/>
              </w:rPr>
              <w:t></w:t>
            </w:r>
            <w:r w:rsidRPr="008B7F94">
              <w:rPr>
                <w:lang w:val="en-US"/>
              </w:rPr>
              <w:t>M</w:t>
            </w:r>
          </w:p>
        </w:tc>
        <w:tc>
          <w:tcPr>
            <w:tcW w:w="0" w:type="auto"/>
            <w:tcBorders>
              <w:top w:val="nil"/>
              <w:left w:val="nil"/>
              <w:bottom w:val="nil"/>
              <w:right w:val="nil"/>
            </w:tcBorders>
            <w:vAlign w:val="center"/>
          </w:tcPr>
          <w:p w:rsidR="00D03C79" w:rsidRPr="008B7F94" w:rsidRDefault="00D03C79" w:rsidP="00370D40">
            <w:pPr>
              <w:autoSpaceDE w:val="0"/>
              <w:autoSpaceDN w:val="0"/>
              <w:adjustRightInd w:val="0"/>
              <w:spacing w:before="120" w:line="240" w:lineRule="auto"/>
              <w:ind w:left="149" w:hanging="149"/>
              <w:rPr>
                <w:lang w:val="en-US"/>
              </w:rPr>
            </w:pPr>
            <w:r w:rsidRPr="008B7F94">
              <w:rPr>
                <w:lang w:val="en-US"/>
              </w:rPr>
              <w:t>0.208</w:t>
            </w:r>
          </w:p>
        </w:tc>
        <w:tc>
          <w:tcPr>
            <w:tcW w:w="0" w:type="auto"/>
            <w:tcBorders>
              <w:top w:val="nil"/>
              <w:left w:val="nil"/>
              <w:bottom w:val="nil"/>
              <w:right w:val="nil"/>
            </w:tcBorders>
            <w:vAlign w:val="center"/>
          </w:tcPr>
          <w:p w:rsidR="00D03C79" w:rsidRPr="008B7F94" w:rsidRDefault="00D03C79" w:rsidP="00370D40">
            <w:pPr>
              <w:pStyle w:val="TBLROW"/>
              <w:tabs>
                <w:tab w:val="left" w:pos="360"/>
              </w:tabs>
              <w:spacing w:before="120" w:after="0" w:line="240" w:lineRule="auto"/>
              <w:jc w:val="both"/>
              <w:rPr>
                <w:rFonts w:ascii="Times New Roman" w:hAnsi="Times New Roman"/>
                <w:sz w:val="24"/>
                <w:szCs w:val="24"/>
              </w:rPr>
            </w:pPr>
            <w:r w:rsidRPr="008B7F94">
              <w:rPr>
                <w:rFonts w:ascii="Times New Roman" w:hAnsi="Times New Roman"/>
                <w:sz w:val="24"/>
                <w:szCs w:val="24"/>
              </w:rPr>
              <w:t>****</w:t>
            </w:r>
          </w:p>
        </w:tc>
        <w:tc>
          <w:tcPr>
            <w:tcW w:w="0" w:type="auto"/>
            <w:tcBorders>
              <w:top w:val="nil"/>
              <w:left w:val="nil"/>
              <w:bottom w:val="nil"/>
              <w:right w:val="nil"/>
            </w:tcBorders>
            <w:vAlign w:val="center"/>
          </w:tcPr>
          <w:p w:rsidR="00D03C79" w:rsidRPr="008B7F94" w:rsidRDefault="00D03C79" w:rsidP="00370D40">
            <w:pPr>
              <w:pStyle w:val="TBLROW"/>
              <w:tabs>
                <w:tab w:val="left" w:pos="360"/>
              </w:tabs>
              <w:spacing w:before="120" w:after="0" w:line="240" w:lineRule="auto"/>
              <w:jc w:val="both"/>
              <w:rPr>
                <w:rFonts w:ascii="Times New Roman" w:hAnsi="Times New Roman"/>
                <w:sz w:val="24"/>
                <w:szCs w:val="24"/>
              </w:rPr>
            </w:pPr>
            <w:r w:rsidRPr="008B7F94">
              <w:rPr>
                <w:rFonts w:ascii="Times New Roman" w:hAnsi="Times New Roman"/>
                <w:sz w:val="24"/>
                <w:szCs w:val="24"/>
              </w:rPr>
              <w:t>0.208</w:t>
            </w:r>
          </w:p>
        </w:tc>
        <w:tc>
          <w:tcPr>
            <w:tcW w:w="0" w:type="auto"/>
            <w:tcBorders>
              <w:top w:val="nil"/>
              <w:left w:val="nil"/>
              <w:bottom w:val="nil"/>
              <w:right w:val="nil"/>
            </w:tcBorders>
            <w:vAlign w:val="center"/>
          </w:tcPr>
          <w:p w:rsidR="00D03C79" w:rsidRPr="008B7F94" w:rsidRDefault="00D03C79" w:rsidP="00370D40">
            <w:pPr>
              <w:autoSpaceDE w:val="0"/>
              <w:autoSpaceDN w:val="0"/>
              <w:adjustRightInd w:val="0"/>
              <w:spacing w:before="120" w:line="240" w:lineRule="auto"/>
              <w:rPr>
                <w:lang w:val="en-US"/>
              </w:rPr>
            </w:pP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before="120" w:line="240" w:lineRule="auto"/>
              <w:ind w:right="53"/>
              <w:rPr>
                <w:lang w:val="en-US"/>
              </w:rPr>
            </w:pPr>
            <w:r w:rsidRPr="008B7F94">
              <w:rPr>
                <w:i/>
                <w:iCs/>
                <w:szCs w:val="22"/>
              </w:rPr>
              <w:t>k</w:t>
            </w:r>
            <w:r w:rsidRPr="008B7F94">
              <w:rPr>
                <w:i/>
                <w:iCs/>
                <w:szCs w:val="22"/>
                <w:vertAlign w:val="subscript"/>
              </w:rPr>
              <w:t>cat</w:t>
            </w:r>
            <w:r w:rsidRPr="008B7F94">
              <w:rPr>
                <w:lang w:val="en-US"/>
              </w:rPr>
              <w:t>, s</w:t>
            </w:r>
            <w:r w:rsidRPr="008B7F94">
              <w:rPr>
                <w:vertAlign w:val="superscript"/>
                <w:lang w:val="en-US"/>
              </w:rPr>
              <w:t>-1</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2200</w:t>
            </w:r>
          </w:p>
        </w:tc>
        <w:tc>
          <w:tcPr>
            <w:tcW w:w="0" w:type="auto"/>
            <w:tcBorders>
              <w:top w:val="nil"/>
              <w:left w:val="nil"/>
              <w:bottom w:val="nil"/>
              <w:right w:val="nil"/>
            </w:tcBorders>
            <w:vAlign w:val="center"/>
          </w:tcPr>
          <w:p w:rsidR="00D03C79" w:rsidRPr="008B7F94" w:rsidRDefault="00D03C79" w:rsidP="00FF0B07">
            <w:pPr>
              <w:spacing w:before="120" w:line="240" w:lineRule="auto"/>
              <w:rPr>
                <w:lang w:val="en-US"/>
              </w:rPr>
            </w:pPr>
            <w:r w:rsidRPr="008B7F94">
              <w:rPr>
                <w:lang w:val="en-US"/>
              </w:rPr>
              <w:t>[</w:t>
            </w:r>
            <w:r w:rsidR="00FF0B07" w:rsidRPr="008B7F94">
              <w:rPr>
                <w:lang w:val="en-US"/>
              </w:rPr>
              <w:t>49</w:t>
            </w:r>
            <w:r w:rsidR="000602E6" w:rsidRPr="008B7F94">
              <w:rPr>
                <w:lang w:val="en-US"/>
              </w:rPr>
              <w:t>-5</w:t>
            </w:r>
            <w:r w:rsidR="00FF0B07" w:rsidRPr="008B7F94">
              <w:rPr>
                <w:lang w:val="en-US"/>
              </w:rPr>
              <w:t>1</w:t>
            </w: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2200</w:t>
            </w:r>
          </w:p>
        </w:tc>
        <w:tc>
          <w:tcPr>
            <w:tcW w:w="0" w:type="auto"/>
            <w:tcBorders>
              <w:top w:val="nil"/>
              <w:left w:val="nil"/>
              <w:bottom w:val="nil"/>
              <w:right w:val="nil"/>
            </w:tcBorders>
            <w:vAlign w:val="center"/>
          </w:tcPr>
          <w:p w:rsidR="00D03C79" w:rsidRPr="008B7F94" w:rsidRDefault="00D03C79" w:rsidP="00FF0B07">
            <w:pPr>
              <w:spacing w:before="120" w:line="240" w:lineRule="auto"/>
              <w:rPr>
                <w:lang w:val="en-US"/>
              </w:rPr>
            </w:pPr>
            <w:r w:rsidRPr="008B7F94">
              <w:rPr>
                <w:lang w:val="en-US"/>
              </w:rPr>
              <w:t>[</w:t>
            </w:r>
            <w:r w:rsidR="000602E6" w:rsidRPr="008B7F94">
              <w:rPr>
                <w:lang w:val="en-US"/>
              </w:rPr>
              <w:t>5</w:t>
            </w:r>
            <w:r w:rsidR="00FF0B07" w:rsidRPr="008B7F94">
              <w:rPr>
                <w:lang w:val="en-US"/>
              </w:rPr>
              <w:t>0</w:t>
            </w:r>
            <w:r w:rsidR="000602E6" w:rsidRPr="008B7F94">
              <w:rPr>
                <w:lang w:val="en-US"/>
              </w:rPr>
              <w:t>-5</w:t>
            </w:r>
            <w:r w:rsidR="00FF0B07" w:rsidRPr="008B7F94">
              <w:rPr>
                <w:lang w:val="en-US"/>
              </w:rPr>
              <w:t>2</w:t>
            </w: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before="120" w:line="240" w:lineRule="auto"/>
              <w:ind w:right="53"/>
              <w:rPr>
                <w:rFonts w:ascii="Arial" w:hAnsi="Arial" w:cs="Arial"/>
                <w:lang w:val="en-US"/>
              </w:rPr>
            </w:pPr>
            <w:r w:rsidRPr="008B7F94">
              <w:rPr>
                <w:i/>
                <w:iCs/>
                <w:szCs w:val="22"/>
              </w:rPr>
              <w:t>K</w:t>
            </w:r>
            <w:r w:rsidRPr="008B7F94">
              <w:rPr>
                <w:i/>
                <w:iCs/>
                <w:szCs w:val="22"/>
                <w:vertAlign w:val="subscript"/>
              </w:rPr>
              <w:t>m</w:t>
            </w:r>
            <w:r w:rsidRPr="008B7F94">
              <w:rPr>
                <w:rFonts w:ascii="Arial" w:hAnsi="Arial" w:cs="Arial"/>
                <w:lang w:val="en-US"/>
              </w:rPr>
              <w:t xml:space="preserve">, </w:t>
            </w:r>
            <w:r w:rsidRPr="008B7F94">
              <w:rPr>
                <w:rFonts w:ascii="Symbol" w:hAnsi="Symbol" w:cs="Arial"/>
                <w:lang w:val="en-US"/>
              </w:rPr>
              <w:t></w:t>
            </w:r>
            <w:r w:rsidRPr="008B7F94">
              <w:rPr>
                <w:lang w:val="en-US"/>
              </w:rPr>
              <w:t>M</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10</w:t>
            </w:r>
          </w:p>
        </w:tc>
        <w:tc>
          <w:tcPr>
            <w:tcW w:w="0" w:type="auto"/>
            <w:tcBorders>
              <w:top w:val="nil"/>
              <w:left w:val="nil"/>
              <w:bottom w:val="nil"/>
              <w:right w:val="nil"/>
            </w:tcBorders>
            <w:vAlign w:val="center"/>
          </w:tcPr>
          <w:p w:rsidR="00D03C79" w:rsidRPr="008B7F94" w:rsidRDefault="00D03C79" w:rsidP="00FF0B07">
            <w:pPr>
              <w:spacing w:before="120" w:line="240" w:lineRule="auto"/>
              <w:rPr>
                <w:lang w:val="en-US"/>
              </w:rPr>
            </w:pPr>
            <w:r w:rsidRPr="008B7F94">
              <w:rPr>
                <w:lang w:val="en-US"/>
              </w:rPr>
              <w:t>[</w:t>
            </w:r>
            <w:r w:rsidR="00FF0B07" w:rsidRPr="008B7F94">
              <w:rPr>
                <w:lang w:val="en-US"/>
              </w:rPr>
              <w:t>49</w:t>
            </w:r>
            <w:r w:rsidR="00993641" w:rsidRPr="008B7F94">
              <w:rPr>
                <w:lang w:val="en-US"/>
              </w:rPr>
              <w:t>, 5</w:t>
            </w:r>
            <w:r w:rsidR="00FF0B07" w:rsidRPr="008B7F94">
              <w:rPr>
                <w:lang w:val="en-US"/>
              </w:rPr>
              <w:t>1</w:t>
            </w:r>
            <w:r w:rsidR="00993641" w:rsidRPr="008B7F94">
              <w:rPr>
                <w:lang w:val="en-US"/>
              </w:rPr>
              <w:t>-5</w:t>
            </w:r>
            <w:r w:rsidR="00FF0B07" w:rsidRPr="008B7F94">
              <w:rPr>
                <w:lang w:val="en-US"/>
              </w:rPr>
              <w:t>4</w:t>
            </w: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20</w:t>
            </w:r>
          </w:p>
        </w:tc>
        <w:tc>
          <w:tcPr>
            <w:tcW w:w="0" w:type="auto"/>
            <w:tcBorders>
              <w:top w:val="nil"/>
              <w:left w:val="nil"/>
              <w:bottom w:val="nil"/>
              <w:right w:val="nil"/>
            </w:tcBorders>
            <w:vAlign w:val="center"/>
          </w:tcPr>
          <w:p w:rsidR="00D03C79" w:rsidRPr="008B7F94" w:rsidRDefault="00D03C79" w:rsidP="00FF0B07">
            <w:pPr>
              <w:spacing w:before="120" w:line="240" w:lineRule="auto"/>
              <w:rPr>
                <w:lang w:val="en-US"/>
              </w:rPr>
            </w:pPr>
            <w:r w:rsidRPr="008B7F94">
              <w:rPr>
                <w:lang w:val="en-US"/>
              </w:rPr>
              <w:t>[</w:t>
            </w:r>
            <w:r w:rsidR="00993641" w:rsidRPr="008B7F94">
              <w:rPr>
                <w:lang w:val="en-US"/>
              </w:rPr>
              <w:t>5</w:t>
            </w:r>
            <w:r w:rsidR="00FF0B07" w:rsidRPr="008B7F94">
              <w:rPr>
                <w:lang w:val="en-US"/>
              </w:rPr>
              <w:t>1</w:t>
            </w:r>
            <w:r w:rsidR="00993641" w:rsidRPr="008B7F94">
              <w:rPr>
                <w:lang w:val="en-US"/>
              </w:rPr>
              <w:t>-5</w:t>
            </w:r>
            <w:r w:rsidR="00FF0B07" w:rsidRPr="008B7F94">
              <w:rPr>
                <w:lang w:val="en-US"/>
              </w:rPr>
              <w:t>4</w:t>
            </w: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before="120" w:line="240" w:lineRule="auto"/>
              <w:ind w:right="53"/>
              <w:rPr>
                <w:rFonts w:ascii="Arial" w:hAnsi="Arial" w:cs="Arial"/>
                <w:lang w:val="en-US"/>
              </w:rPr>
            </w:pPr>
            <w:proofErr w:type="spellStart"/>
            <w:r w:rsidRPr="008B7F94">
              <w:rPr>
                <w:i/>
                <w:lang w:val="en-US"/>
              </w:rPr>
              <w:t>cG</w:t>
            </w:r>
            <w:r w:rsidRPr="008B7F94">
              <w:rPr>
                <w:i/>
                <w:vertAlign w:val="subscript"/>
                <w:lang w:val="en-US"/>
              </w:rPr>
              <w:t>dark</w:t>
            </w:r>
            <w:proofErr w:type="spellEnd"/>
            <w:r w:rsidRPr="008B7F94">
              <w:rPr>
                <w:rFonts w:ascii="Arial" w:hAnsi="Arial" w:cs="Arial"/>
                <w:lang w:val="en-US"/>
              </w:rPr>
              <w:t xml:space="preserve">, </w:t>
            </w:r>
            <w:r w:rsidRPr="008B7F94">
              <w:rPr>
                <w:rFonts w:ascii="Symbol" w:hAnsi="Symbol" w:cs="Arial"/>
                <w:lang w:val="en-US"/>
              </w:rPr>
              <w:t></w:t>
            </w:r>
            <w:r w:rsidRPr="008B7F94">
              <w:rPr>
                <w:lang w:val="en-US"/>
              </w:rPr>
              <w:t>M</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3</w:t>
            </w:r>
          </w:p>
        </w:tc>
        <w:tc>
          <w:tcPr>
            <w:tcW w:w="0" w:type="auto"/>
            <w:tcBorders>
              <w:top w:val="nil"/>
              <w:left w:val="nil"/>
              <w:bottom w:val="nil"/>
              <w:right w:val="nil"/>
            </w:tcBorders>
            <w:vAlign w:val="center"/>
          </w:tcPr>
          <w:p w:rsidR="00D03C79" w:rsidRPr="008B7F94" w:rsidRDefault="00FF0B07" w:rsidP="00370D40">
            <w:pPr>
              <w:spacing w:before="120" w:line="240" w:lineRule="auto"/>
              <w:rPr>
                <w:lang w:val="en-US"/>
              </w:rPr>
            </w:pPr>
            <w:r w:rsidRPr="008B7F94">
              <w:rPr>
                <w:lang w:val="en-US"/>
              </w:rPr>
              <w:t>[</w:t>
            </w:r>
            <w:r w:rsidR="00993641" w:rsidRPr="008B7F94">
              <w:rPr>
                <w:lang w:val="en-US"/>
              </w:rPr>
              <w:t>1</w:t>
            </w:r>
            <w:r w:rsidR="00D03C79" w:rsidRPr="008B7F94">
              <w:rPr>
                <w:lang w:val="en-US"/>
              </w:rPr>
              <w:t>], **</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6</w:t>
            </w:r>
          </w:p>
        </w:tc>
        <w:tc>
          <w:tcPr>
            <w:tcW w:w="0" w:type="auto"/>
            <w:tcBorders>
              <w:top w:val="nil"/>
              <w:left w:val="nil"/>
              <w:bottom w:val="nil"/>
              <w:right w:val="nil"/>
            </w:tcBorders>
            <w:vAlign w:val="center"/>
          </w:tcPr>
          <w:p w:rsidR="00D03C79" w:rsidRPr="008B7F94" w:rsidRDefault="00D03C79" w:rsidP="00FF0B07">
            <w:pPr>
              <w:spacing w:before="120" w:line="240" w:lineRule="auto"/>
              <w:rPr>
                <w:i/>
                <w:lang w:val="en-US"/>
              </w:rPr>
            </w:pPr>
            <w:r w:rsidRPr="008B7F94">
              <w:rPr>
                <w:lang w:val="en-US"/>
              </w:rPr>
              <w:t>[</w:t>
            </w:r>
            <w:r w:rsidR="00FF0B07" w:rsidRPr="008B7F94">
              <w:rPr>
                <w:lang w:val="en-US"/>
              </w:rPr>
              <w:t>1</w:t>
            </w:r>
            <w:r w:rsidRPr="008B7F94">
              <w:rPr>
                <w:lang w:val="en-US"/>
              </w:rPr>
              <w:t>], **</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before="120" w:line="240" w:lineRule="auto"/>
              <w:ind w:right="53"/>
              <w:rPr>
                <w:rFonts w:ascii="Arial" w:hAnsi="Arial" w:cs="Arial"/>
                <w:lang w:val="en-US"/>
              </w:rPr>
            </w:pPr>
            <w:r w:rsidRPr="008B7F94">
              <w:rPr>
                <w:i/>
                <w:iCs/>
                <w:szCs w:val="22"/>
              </w:rPr>
              <w:t>K</w:t>
            </w:r>
            <w:r w:rsidRPr="008B7F94">
              <w:rPr>
                <w:i/>
                <w:iCs/>
                <w:szCs w:val="22"/>
                <w:vertAlign w:val="subscript"/>
              </w:rPr>
              <w:t>CaR</w:t>
            </w:r>
            <w:r w:rsidRPr="008B7F94">
              <w:rPr>
                <w:iCs/>
                <w:szCs w:val="22"/>
                <w:lang w:val="en-US"/>
              </w:rPr>
              <w:t xml:space="preserve">, </w:t>
            </w:r>
            <w:r w:rsidRPr="008B7F94">
              <w:rPr>
                <w:rFonts w:ascii="Symbol" w:hAnsi="Symbol" w:cs="Arial"/>
                <w:lang w:val="en-US"/>
              </w:rPr>
              <w:t></w:t>
            </w:r>
            <w:r w:rsidRPr="008B7F94">
              <w:rPr>
                <w:lang w:val="en-US"/>
              </w:rPr>
              <w:t>M</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0.2</w:t>
            </w:r>
          </w:p>
        </w:tc>
        <w:tc>
          <w:tcPr>
            <w:tcW w:w="0" w:type="auto"/>
            <w:tcBorders>
              <w:top w:val="nil"/>
              <w:left w:val="nil"/>
              <w:bottom w:val="nil"/>
              <w:right w:val="nil"/>
            </w:tcBorders>
            <w:vAlign w:val="center"/>
          </w:tcPr>
          <w:p w:rsidR="00D03C79" w:rsidRPr="008B7F94" w:rsidRDefault="00D03C79" w:rsidP="00FF0B07">
            <w:pPr>
              <w:spacing w:before="120" w:line="240" w:lineRule="auto"/>
              <w:rPr>
                <w:lang w:val="en-US"/>
              </w:rPr>
            </w:pPr>
            <w:r w:rsidRPr="008B7F94">
              <w:rPr>
                <w:lang w:val="en-US"/>
              </w:rPr>
              <w:t>[</w:t>
            </w:r>
            <w:r w:rsidR="00993641" w:rsidRPr="008B7F94">
              <w:rPr>
                <w:lang w:val="en-US"/>
              </w:rPr>
              <w:t>25, 5</w:t>
            </w:r>
            <w:r w:rsidR="00FF0B07" w:rsidRPr="008B7F94">
              <w:rPr>
                <w:lang w:val="en-US"/>
              </w:rPr>
              <w:t>5</w:t>
            </w:r>
            <w:r w:rsidRPr="008B7F94">
              <w:rPr>
                <w:lang w:val="en-US"/>
              </w:rPr>
              <w:t>], ****</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0.2</w:t>
            </w:r>
          </w:p>
        </w:tc>
        <w:tc>
          <w:tcPr>
            <w:tcW w:w="0" w:type="auto"/>
            <w:tcBorders>
              <w:top w:val="nil"/>
              <w:left w:val="nil"/>
              <w:bottom w:val="nil"/>
              <w:right w:val="nil"/>
            </w:tcBorders>
            <w:vAlign w:val="center"/>
          </w:tcPr>
          <w:p w:rsidR="00D03C79" w:rsidRPr="008B7F94" w:rsidRDefault="00D03C79" w:rsidP="00FF0B07">
            <w:pPr>
              <w:spacing w:before="120" w:line="240" w:lineRule="auto"/>
              <w:rPr>
                <w:rFonts w:ascii="Arial" w:hAnsi="Arial" w:cs="Arial"/>
                <w:i/>
                <w:lang w:val="en-US"/>
              </w:rPr>
            </w:pPr>
            <w:r w:rsidRPr="008B7F94">
              <w:rPr>
                <w:lang w:val="en-US"/>
              </w:rPr>
              <w:t>[</w:t>
            </w:r>
            <w:r w:rsidR="00993641" w:rsidRPr="008B7F94">
              <w:rPr>
                <w:lang w:val="en-US"/>
              </w:rPr>
              <w:t xml:space="preserve">25, </w:t>
            </w:r>
            <w:r w:rsidR="00FF0B07" w:rsidRPr="008B7F94">
              <w:rPr>
                <w:lang w:val="en-US"/>
              </w:rPr>
              <w:t>55</w:t>
            </w:r>
            <w:r w:rsidRPr="008B7F94">
              <w:rPr>
                <w:lang w:val="en-US"/>
              </w:rPr>
              <w:t>], ****</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before="120" w:line="240" w:lineRule="auto"/>
              <w:ind w:right="53"/>
              <w:rPr>
                <w:rFonts w:ascii="Arial" w:hAnsi="Arial" w:cs="Arial"/>
                <w:lang w:val="en-US"/>
              </w:rPr>
            </w:pPr>
            <w:r w:rsidRPr="008B7F94">
              <w:rPr>
                <w:i/>
                <w:iCs/>
                <w:szCs w:val="22"/>
              </w:rPr>
              <w:t>n</w:t>
            </w:r>
            <w:r w:rsidRPr="008B7F94">
              <w:rPr>
                <w:i/>
                <w:iCs/>
                <w:szCs w:val="22"/>
                <w:vertAlign w:val="subscript"/>
              </w:rPr>
              <w:t>CaR</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3</w:t>
            </w:r>
          </w:p>
        </w:tc>
        <w:tc>
          <w:tcPr>
            <w:tcW w:w="0" w:type="auto"/>
            <w:tcBorders>
              <w:top w:val="nil"/>
              <w:left w:val="nil"/>
              <w:bottom w:val="nil"/>
              <w:right w:val="nil"/>
            </w:tcBorders>
            <w:vAlign w:val="center"/>
          </w:tcPr>
          <w:p w:rsidR="00D03C79" w:rsidRPr="008B7F94" w:rsidRDefault="00D03C79" w:rsidP="00FF0B07">
            <w:pPr>
              <w:spacing w:before="120" w:line="240" w:lineRule="auto"/>
              <w:rPr>
                <w:lang w:val="en-US"/>
              </w:rPr>
            </w:pPr>
            <w:r w:rsidRPr="008B7F94">
              <w:rPr>
                <w:lang w:val="en-US"/>
              </w:rPr>
              <w:t>[</w:t>
            </w:r>
            <w:r w:rsidR="00993641" w:rsidRPr="008B7F94">
              <w:rPr>
                <w:lang w:val="en-US"/>
              </w:rPr>
              <w:t>25, 5</w:t>
            </w:r>
            <w:r w:rsidR="00FF0B07" w:rsidRPr="008B7F94">
              <w:rPr>
                <w:lang w:val="en-US"/>
              </w:rPr>
              <w:t>5</w:t>
            </w:r>
            <w:r w:rsidRPr="008B7F94">
              <w:rPr>
                <w:lang w:val="en-US"/>
              </w:rPr>
              <w:t>], ****</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3</w:t>
            </w:r>
          </w:p>
        </w:tc>
        <w:tc>
          <w:tcPr>
            <w:tcW w:w="0" w:type="auto"/>
            <w:tcBorders>
              <w:top w:val="nil"/>
              <w:left w:val="nil"/>
              <w:bottom w:val="nil"/>
              <w:right w:val="nil"/>
            </w:tcBorders>
            <w:vAlign w:val="center"/>
          </w:tcPr>
          <w:p w:rsidR="00D03C79" w:rsidRPr="008B7F94" w:rsidRDefault="00D03C79" w:rsidP="00FF0B07">
            <w:pPr>
              <w:spacing w:before="120" w:line="240" w:lineRule="auto"/>
              <w:rPr>
                <w:rFonts w:ascii="Arial" w:hAnsi="Arial" w:cs="Arial"/>
                <w:i/>
                <w:lang w:val="en-US"/>
              </w:rPr>
            </w:pPr>
            <w:r w:rsidRPr="008B7F94">
              <w:rPr>
                <w:lang w:val="en-US"/>
              </w:rPr>
              <w:t>[</w:t>
            </w:r>
            <w:r w:rsidR="00993641" w:rsidRPr="008B7F94">
              <w:rPr>
                <w:lang w:val="en-US"/>
              </w:rPr>
              <w:t>25, 5</w:t>
            </w:r>
            <w:r w:rsidR="00FF0B07" w:rsidRPr="008B7F94">
              <w:rPr>
                <w:lang w:val="en-US"/>
              </w:rPr>
              <w:t>5</w:t>
            </w:r>
            <w:r w:rsidRPr="008B7F94">
              <w:rPr>
                <w:lang w:val="en-US"/>
              </w:rPr>
              <w:t>], ****</w:t>
            </w:r>
          </w:p>
        </w:tc>
      </w:tr>
      <w:tr w:rsidR="00D03C79" w:rsidRPr="008B7F94" w:rsidTr="00370D40">
        <w:trPr>
          <w:cantSplit/>
        </w:trPr>
        <w:tc>
          <w:tcPr>
            <w:tcW w:w="0" w:type="auto"/>
            <w:tcBorders>
              <w:top w:val="nil"/>
              <w:bottom w:val="nil"/>
              <w:right w:val="nil"/>
            </w:tcBorders>
            <w:tcMar>
              <w:left w:w="115" w:type="dxa"/>
              <w:right w:w="115" w:type="dxa"/>
            </w:tcMar>
          </w:tcPr>
          <w:p w:rsidR="00D03C79" w:rsidRPr="008B7F94" w:rsidRDefault="00D03C79" w:rsidP="00370D40">
            <w:pPr>
              <w:spacing w:before="120"/>
              <w:rPr>
                <w:lang w:val="en-US"/>
              </w:rPr>
            </w:pPr>
            <w:r w:rsidRPr="008B7F94">
              <w:rPr>
                <w:i/>
                <w:iCs/>
                <w:szCs w:val="22"/>
              </w:rPr>
              <w:t>k</w:t>
            </w:r>
            <w:r w:rsidRPr="008B7F94">
              <w:rPr>
                <w:i/>
                <w:iCs/>
                <w:szCs w:val="22"/>
                <w:vertAlign w:val="subscript"/>
              </w:rPr>
              <w:t>R</w:t>
            </w:r>
            <w:r w:rsidRPr="008B7F94">
              <w:rPr>
                <w:szCs w:val="22"/>
                <w:vertAlign w:val="subscript"/>
              </w:rPr>
              <w:t>max</w:t>
            </w:r>
            <w:r w:rsidRPr="008B7F94">
              <w:rPr>
                <w:szCs w:val="22"/>
              </w:rPr>
              <w:t>/</w:t>
            </w:r>
            <w:r w:rsidRPr="008B7F94">
              <w:rPr>
                <w:i/>
                <w:iCs/>
                <w:szCs w:val="22"/>
              </w:rPr>
              <w:t>k</w:t>
            </w:r>
            <w:r w:rsidRPr="008B7F94">
              <w:rPr>
                <w:i/>
                <w:iCs/>
                <w:szCs w:val="22"/>
                <w:vertAlign w:val="subscript"/>
              </w:rPr>
              <w:t>R</w:t>
            </w:r>
            <w:r w:rsidRPr="008B7F94">
              <w:rPr>
                <w:szCs w:val="22"/>
                <w:vertAlign w:val="subscript"/>
              </w:rPr>
              <w:t>min</w:t>
            </w:r>
            <w:r w:rsidRPr="008B7F94">
              <w:rPr>
                <w:szCs w:val="22"/>
                <w:lang w:val="en-US"/>
              </w:rPr>
              <w:t xml:space="preserve"> </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20</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w:t>
            </w:r>
            <w:r w:rsidR="00FF0B07" w:rsidRPr="008B7F94">
              <w:rPr>
                <w:lang w:val="en-US"/>
              </w:rPr>
              <w:t>25, 55</w:t>
            </w:r>
            <w:r w:rsidRPr="008B7F94">
              <w:rPr>
                <w:lang w:val="en-US"/>
              </w:rPr>
              <w:t>], ****</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20</w:t>
            </w:r>
          </w:p>
        </w:tc>
        <w:tc>
          <w:tcPr>
            <w:tcW w:w="0" w:type="auto"/>
            <w:tcBorders>
              <w:top w:val="nil"/>
              <w:left w:val="nil"/>
              <w:bottom w:val="nil"/>
              <w:right w:val="nil"/>
            </w:tcBorders>
            <w:vAlign w:val="center"/>
          </w:tcPr>
          <w:p w:rsidR="00D03C79" w:rsidRPr="008B7F94" w:rsidRDefault="00D03C79" w:rsidP="00370D40">
            <w:pPr>
              <w:spacing w:before="120" w:line="240" w:lineRule="auto"/>
              <w:rPr>
                <w:rFonts w:ascii="Arial" w:hAnsi="Arial" w:cs="Arial"/>
                <w:i/>
                <w:lang w:val="en-US"/>
              </w:rPr>
            </w:pPr>
            <w:r w:rsidRPr="008B7F94">
              <w:rPr>
                <w:lang w:val="en-US"/>
              </w:rPr>
              <w:t>[</w:t>
            </w:r>
            <w:r w:rsidR="00FF0B07" w:rsidRPr="008B7F94">
              <w:rPr>
                <w:lang w:val="en-US"/>
              </w:rPr>
              <w:t>25, 55</w:t>
            </w:r>
            <w:r w:rsidRPr="008B7F94">
              <w:rPr>
                <w:lang w:val="en-US"/>
              </w:rPr>
              <w:t>], ****</w:t>
            </w:r>
          </w:p>
        </w:tc>
      </w:tr>
      <w:tr w:rsidR="00D03C79" w:rsidRPr="008B7F94" w:rsidTr="00370D40">
        <w:trPr>
          <w:cantSplit/>
        </w:trPr>
        <w:tc>
          <w:tcPr>
            <w:tcW w:w="0" w:type="auto"/>
            <w:tcBorders>
              <w:top w:val="nil"/>
              <w:bottom w:val="nil"/>
              <w:right w:val="nil"/>
            </w:tcBorders>
            <w:tcMar>
              <w:left w:w="115" w:type="dxa"/>
              <w:right w:w="115" w:type="dxa"/>
            </w:tcMar>
          </w:tcPr>
          <w:p w:rsidR="00D03C79" w:rsidRPr="008B7F94" w:rsidRDefault="00D03C79" w:rsidP="00370D40">
            <w:pPr>
              <w:spacing w:before="120"/>
            </w:pPr>
            <w:r w:rsidRPr="008B7F94">
              <w:rPr>
                <w:i/>
                <w:iCs/>
                <w:szCs w:val="22"/>
              </w:rPr>
              <w:t>K</w:t>
            </w:r>
            <w:r w:rsidRPr="008B7F94">
              <w:rPr>
                <w:i/>
                <w:iCs/>
                <w:szCs w:val="22"/>
                <w:vertAlign w:val="subscript"/>
              </w:rPr>
              <w:t>cG</w:t>
            </w:r>
            <w:r w:rsidRPr="008B7F94">
              <w:rPr>
                <w:i/>
                <w:iCs/>
                <w:szCs w:val="22"/>
                <w:vertAlign w:val="subscript"/>
                <w:lang w:val="en-US"/>
              </w:rPr>
              <w:t>min</w:t>
            </w:r>
            <w:r w:rsidRPr="008B7F94">
              <w:rPr>
                <w:rFonts w:ascii="Arial" w:hAnsi="Arial" w:cs="Arial"/>
                <w:lang w:val="en-US"/>
              </w:rPr>
              <w:t xml:space="preserve">, </w:t>
            </w:r>
            <w:r w:rsidRPr="008B7F94">
              <w:rPr>
                <w:rFonts w:ascii="Symbol" w:hAnsi="Symbol" w:cs="Arial"/>
                <w:lang w:val="en-US"/>
              </w:rPr>
              <w:t></w:t>
            </w:r>
            <w:r w:rsidRPr="008B7F94">
              <w:rPr>
                <w:lang w:val="en-US"/>
              </w:rPr>
              <w:t>M</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13</w:t>
            </w:r>
          </w:p>
        </w:tc>
        <w:tc>
          <w:tcPr>
            <w:tcW w:w="0" w:type="auto"/>
            <w:tcBorders>
              <w:top w:val="nil"/>
              <w:left w:val="nil"/>
              <w:bottom w:val="nil"/>
              <w:right w:val="nil"/>
            </w:tcBorders>
            <w:vAlign w:val="center"/>
          </w:tcPr>
          <w:p w:rsidR="00D03C79" w:rsidRPr="008B7F94" w:rsidRDefault="00D03C79" w:rsidP="00FF0B07">
            <w:pPr>
              <w:spacing w:before="120" w:line="240" w:lineRule="auto"/>
              <w:rPr>
                <w:lang w:val="en-US"/>
              </w:rPr>
            </w:pPr>
            <w:r w:rsidRPr="008B7F94">
              <w:rPr>
                <w:lang w:val="en-US"/>
              </w:rPr>
              <w:t>[</w:t>
            </w:r>
            <w:r w:rsidR="00993641" w:rsidRPr="008B7F94">
              <w:rPr>
                <w:lang w:val="en-US"/>
              </w:rPr>
              <w:t>9</w:t>
            </w: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120</w:t>
            </w:r>
          </w:p>
        </w:tc>
        <w:tc>
          <w:tcPr>
            <w:tcW w:w="0" w:type="auto"/>
            <w:tcBorders>
              <w:top w:val="nil"/>
              <w:left w:val="nil"/>
              <w:bottom w:val="nil"/>
              <w:right w:val="nil"/>
            </w:tcBorders>
            <w:vAlign w:val="center"/>
          </w:tcPr>
          <w:p w:rsidR="00D03C79" w:rsidRPr="008B7F94" w:rsidRDefault="00D03C79" w:rsidP="00FF0B07">
            <w:pPr>
              <w:spacing w:before="120" w:line="240" w:lineRule="auto"/>
              <w:rPr>
                <w:lang w:val="en-US"/>
              </w:rPr>
            </w:pPr>
            <w:r w:rsidRPr="008B7F94">
              <w:rPr>
                <w:lang w:val="en-US"/>
              </w:rPr>
              <w:t>[</w:t>
            </w:r>
            <w:r w:rsidR="00993641" w:rsidRPr="008B7F94">
              <w:rPr>
                <w:lang w:val="en-US"/>
              </w:rPr>
              <w:t>4</w:t>
            </w: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tcPr>
          <w:p w:rsidR="00D03C79" w:rsidRPr="008B7F94" w:rsidRDefault="00D03C79" w:rsidP="00370D40">
            <w:pPr>
              <w:spacing w:before="120"/>
            </w:pPr>
            <w:r w:rsidRPr="008B7F94">
              <w:rPr>
                <w:i/>
                <w:iCs/>
                <w:szCs w:val="22"/>
              </w:rPr>
              <w:t>K</w:t>
            </w:r>
            <w:r w:rsidRPr="008B7F94">
              <w:rPr>
                <w:i/>
                <w:iCs/>
                <w:szCs w:val="22"/>
                <w:vertAlign w:val="subscript"/>
              </w:rPr>
              <w:t>cG</w:t>
            </w:r>
            <w:r w:rsidRPr="008B7F94">
              <w:rPr>
                <w:i/>
                <w:iCs/>
                <w:szCs w:val="22"/>
                <w:vertAlign w:val="subscript"/>
                <w:lang w:val="en-US"/>
              </w:rPr>
              <w:t>max</w:t>
            </w:r>
            <w:r w:rsidRPr="008B7F94">
              <w:rPr>
                <w:rFonts w:ascii="Arial" w:hAnsi="Arial" w:cs="Arial"/>
                <w:lang w:val="en-US"/>
              </w:rPr>
              <w:t xml:space="preserve">, </w:t>
            </w:r>
            <w:r w:rsidRPr="008B7F94">
              <w:rPr>
                <w:rFonts w:ascii="Symbol" w:hAnsi="Symbol" w:cs="Arial"/>
                <w:lang w:val="en-US"/>
              </w:rPr>
              <w:t></w:t>
            </w:r>
            <w:r w:rsidRPr="008B7F94">
              <w:rPr>
                <w:lang w:val="en-US"/>
              </w:rPr>
              <w:t>M</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32</w:t>
            </w:r>
          </w:p>
        </w:tc>
        <w:tc>
          <w:tcPr>
            <w:tcW w:w="0" w:type="auto"/>
            <w:tcBorders>
              <w:top w:val="nil"/>
              <w:left w:val="nil"/>
              <w:bottom w:val="nil"/>
              <w:right w:val="nil"/>
            </w:tcBorders>
            <w:vAlign w:val="center"/>
          </w:tcPr>
          <w:p w:rsidR="00D03C79" w:rsidRPr="008B7F94" w:rsidRDefault="00D03C79" w:rsidP="00FF0B07">
            <w:pPr>
              <w:spacing w:before="120" w:line="240" w:lineRule="auto"/>
              <w:rPr>
                <w:lang w:val="en-US"/>
              </w:rPr>
            </w:pPr>
            <w:r w:rsidRPr="008B7F94">
              <w:rPr>
                <w:lang w:val="en-US"/>
              </w:rPr>
              <w:t>[</w:t>
            </w:r>
            <w:r w:rsidR="00993641" w:rsidRPr="008B7F94">
              <w:rPr>
                <w:lang w:val="en-US"/>
              </w:rPr>
              <w:t>9</w:t>
            </w: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316</w:t>
            </w:r>
          </w:p>
        </w:tc>
        <w:tc>
          <w:tcPr>
            <w:tcW w:w="0" w:type="auto"/>
            <w:tcBorders>
              <w:top w:val="nil"/>
              <w:left w:val="nil"/>
              <w:bottom w:val="nil"/>
              <w:right w:val="nil"/>
            </w:tcBorders>
            <w:vAlign w:val="center"/>
          </w:tcPr>
          <w:p w:rsidR="00D03C79" w:rsidRPr="008B7F94" w:rsidRDefault="00D03C79" w:rsidP="00FF0B07">
            <w:pPr>
              <w:spacing w:before="120" w:line="240" w:lineRule="auto"/>
              <w:rPr>
                <w:lang w:val="en-US"/>
              </w:rPr>
            </w:pPr>
            <w:r w:rsidRPr="008B7F94">
              <w:rPr>
                <w:lang w:val="en-US"/>
              </w:rPr>
              <w:t>[</w:t>
            </w:r>
            <w:r w:rsidR="00993641" w:rsidRPr="008B7F94">
              <w:rPr>
                <w:lang w:val="en-US"/>
              </w:rPr>
              <w:t>4</w:t>
            </w: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tcPr>
          <w:p w:rsidR="00D03C79" w:rsidRPr="008B7F94" w:rsidRDefault="00D03C79" w:rsidP="00370D40">
            <w:pPr>
              <w:spacing w:before="120"/>
              <w:rPr>
                <w:i/>
                <w:iCs/>
                <w:szCs w:val="22"/>
                <w:lang w:val="en-US"/>
              </w:rPr>
            </w:pPr>
            <w:proofErr w:type="spellStart"/>
            <w:r w:rsidRPr="008B7F94">
              <w:rPr>
                <w:i/>
                <w:iCs/>
                <w:szCs w:val="22"/>
                <w:lang w:val="en-US"/>
              </w:rPr>
              <w:t>K</w:t>
            </w:r>
            <w:r w:rsidRPr="008B7F94">
              <w:rPr>
                <w:i/>
                <w:iCs/>
                <w:szCs w:val="22"/>
                <w:vertAlign w:val="subscript"/>
                <w:lang w:val="en-US"/>
              </w:rPr>
              <w:t>CaM</w:t>
            </w:r>
            <w:proofErr w:type="spellEnd"/>
            <w:r w:rsidRPr="008B7F94">
              <w:rPr>
                <w:rFonts w:ascii="Arial" w:hAnsi="Arial" w:cs="Arial"/>
                <w:lang w:val="en-US"/>
              </w:rPr>
              <w:t xml:space="preserve">, </w:t>
            </w:r>
            <w:r w:rsidRPr="008B7F94">
              <w:rPr>
                <w:rFonts w:ascii="Symbol" w:hAnsi="Symbol" w:cs="Arial"/>
                <w:lang w:val="en-US"/>
              </w:rPr>
              <w:t></w:t>
            </w:r>
            <w:r w:rsidRPr="008B7F94">
              <w:rPr>
                <w:lang w:val="en-US"/>
              </w:rPr>
              <w:t>M</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.06</w:t>
            </w:r>
          </w:p>
        </w:tc>
        <w:tc>
          <w:tcPr>
            <w:tcW w:w="0" w:type="auto"/>
            <w:tcBorders>
              <w:top w:val="nil"/>
              <w:left w:val="nil"/>
              <w:bottom w:val="nil"/>
              <w:right w:val="nil"/>
            </w:tcBorders>
            <w:vAlign w:val="center"/>
          </w:tcPr>
          <w:p w:rsidR="00D03C79" w:rsidRPr="008B7F94" w:rsidRDefault="00D03C79" w:rsidP="00FF0B07">
            <w:pPr>
              <w:spacing w:before="120" w:line="240" w:lineRule="auto"/>
              <w:rPr>
                <w:lang w:val="en-US"/>
              </w:rPr>
            </w:pPr>
            <w:r w:rsidRPr="008B7F94">
              <w:rPr>
                <w:lang w:val="en-US"/>
              </w:rPr>
              <w:t>[</w:t>
            </w:r>
            <w:r w:rsidR="00993641" w:rsidRPr="008B7F94">
              <w:rPr>
                <w:lang w:val="en-US"/>
              </w:rPr>
              <w:t>9</w:t>
            </w: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0.86</w:t>
            </w:r>
          </w:p>
        </w:tc>
        <w:tc>
          <w:tcPr>
            <w:tcW w:w="0" w:type="auto"/>
            <w:tcBorders>
              <w:top w:val="nil"/>
              <w:left w:val="nil"/>
              <w:bottom w:val="nil"/>
              <w:right w:val="nil"/>
            </w:tcBorders>
            <w:vAlign w:val="center"/>
          </w:tcPr>
          <w:p w:rsidR="00D03C79" w:rsidRPr="008B7F94" w:rsidRDefault="00D03C79" w:rsidP="00FF0B07">
            <w:pPr>
              <w:spacing w:before="120" w:line="240" w:lineRule="auto"/>
              <w:rPr>
                <w:lang w:val="en-US"/>
              </w:rPr>
            </w:pPr>
            <w:r w:rsidRPr="008B7F94">
              <w:rPr>
                <w:lang w:val="en-US"/>
              </w:rPr>
              <w:t>[</w:t>
            </w:r>
            <w:r w:rsidR="00993641" w:rsidRPr="008B7F94">
              <w:rPr>
                <w:lang w:val="en-US"/>
              </w:rPr>
              <w:t>4</w:t>
            </w: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tcPr>
          <w:p w:rsidR="00D03C79" w:rsidRPr="008B7F94" w:rsidRDefault="00D03C79" w:rsidP="00370D40">
            <w:pPr>
              <w:spacing w:before="120"/>
              <w:rPr>
                <w:i/>
                <w:iCs/>
                <w:szCs w:val="22"/>
                <w:lang w:val="en-US"/>
              </w:rPr>
            </w:pPr>
            <w:proofErr w:type="spellStart"/>
            <w:r w:rsidRPr="008B7F94">
              <w:rPr>
                <w:i/>
                <w:iCs/>
                <w:szCs w:val="22"/>
                <w:lang w:val="en-US"/>
              </w:rPr>
              <w:t>n</w:t>
            </w:r>
            <w:r w:rsidRPr="008B7F94">
              <w:rPr>
                <w:i/>
                <w:iCs/>
                <w:szCs w:val="22"/>
                <w:vertAlign w:val="subscript"/>
                <w:lang w:val="en-US"/>
              </w:rPr>
              <w:t>CaM</w:t>
            </w:r>
            <w:proofErr w:type="spellEnd"/>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2</w:t>
            </w:r>
          </w:p>
        </w:tc>
        <w:tc>
          <w:tcPr>
            <w:tcW w:w="0" w:type="auto"/>
            <w:tcBorders>
              <w:top w:val="nil"/>
              <w:left w:val="nil"/>
              <w:bottom w:val="nil"/>
              <w:right w:val="nil"/>
            </w:tcBorders>
            <w:vAlign w:val="center"/>
          </w:tcPr>
          <w:p w:rsidR="00D03C79" w:rsidRPr="008B7F94" w:rsidRDefault="00D03C79" w:rsidP="00FF0B07">
            <w:pPr>
              <w:spacing w:before="120" w:line="240" w:lineRule="auto"/>
              <w:rPr>
                <w:lang w:val="en-US"/>
              </w:rPr>
            </w:pPr>
            <w:r w:rsidRPr="008B7F94">
              <w:rPr>
                <w:lang w:val="en-US"/>
              </w:rPr>
              <w:t>[</w:t>
            </w:r>
            <w:r w:rsidR="00993641" w:rsidRPr="008B7F94">
              <w:rPr>
                <w:lang w:val="en-US"/>
              </w:rPr>
              <w:t>9</w:t>
            </w: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before="120" w:line="240" w:lineRule="auto"/>
              <w:rPr>
                <w:lang w:val="en-US"/>
              </w:rPr>
            </w:pPr>
            <w:r w:rsidRPr="008B7F94">
              <w:rPr>
                <w:lang w:val="en-US"/>
              </w:rPr>
              <w:t>1</w:t>
            </w:r>
          </w:p>
        </w:tc>
        <w:tc>
          <w:tcPr>
            <w:tcW w:w="0" w:type="auto"/>
            <w:tcBorders>
              <w:top w:val="nil"/>
              <w:left w:val="nil"/>
              <w:bottom w:val="nil"/>
              <w:right w:val="nil"/>
            </w:tcBorders>
            <w:vAlign w:val="center"/>
          </w:tcPr>
          <w:p w:rsidR="00D03C79" w:rsidRPr="008B7F94" w:rsidRDefault="00D03C79" w:rsidP="00FF0B07">
            <w:pPr>
              <w:spacing w:before="120" w:line="240" w:lineRule="auto"/>
              <w:rPr>
                <w:lang w:val="en-US"/>
              </w:rPr>
            </w:pPr>
            <w:r w:rsidRPr="008B7F94">
              <w:rPr>
                <w:lang w:val="en-US"/>
              </w:rPr>
              <w:t>[</w:t>
            </w:r>
            <w:r w:rsidR="00993641" w:rsidRPr="008B7F94">
              <w:rPr>
                <w:lang w:val="en-US"/>
              </w:rPr>
              <w:t>4</w:t>
            </w:r>
            <w:r w:rsidRPr="008B7F94">
              <w:rPr>
                <w:lang w:val="en-US"/>
              </w:rPr>
              <w:t>]</w:t>
            </w:r>
          </w:p>
        </w:tc>
      </w:tr>
    </w:tbl>
    <w:p w:rsidR="00D03C79" w:rsidRPr="008B7F94" w:rsidRDefault="00D03C79" w:rsidP="00D03C79">
      <w:pPr>
        <w:autoSpaceDE w:val="0"/>
        <w:autoSpaceDN w:val="0"/>
        <w:adjustRightInd w:val="0"/>
        <w:spacing w:line="240" w:lineRule="auto"/>
        <w:rPr>
          <w:lang w:val="en-US"/>
        </w:rPr>
      </w:pPr>
    </w:p>
    <w:p w:rsidR="00D03C79" w:rsidRPr="008B7F94" w:rsidRDefault="00D03C79" w:rsidP="00D03C79">
      <w:pPr>
        <w:autoSpaceDE w:val="0"/>
        <w:autoSpaceDN w:val="0"/>
        <w:adjustRightInd w:val="0"/>
        <w:spacing w:line="240" w:lineRule="auto"/>
        <w:rPr>
          <w:lang w:val="en-US"/>
        </w:rPr>
      </w:pPr>
      <w:r w:rsidRPr="008B7F94">
        <w:rPr>
          <w:lang w:val="en-US"/>
        </w:rPr>
        <w:t>* Own measurements</w:t>
      </w:r>
    </w:p>
    <w:p w:rsidR="00D03C79" w:rsidRPr="008B7F94" w:rsidRDefault="00D03C79" w:rsidP="00D03C79">
      <w:pPr>
        <w:autoSpaceDE w:val="0"/>
        <w:autoSpaceDN w:val="0"/>
        <w:adjustRightInd w:val="0"/>
        <w:spacing w:line="240" w:lineRule="auto"/>
        <w:rPr>
          <w:lang w:val="en-US"/>
        </w:rPr>
      </w:pPr>
      <w:r w:rsidRPr="008B7F94">
        <w:rPr>
          <w:lang w:val="en-US"/>
        </w:rPr>
        <w:t>** Constrained by our Ca</w:t>
      </w:r>
      <w:r w:rsidRPr="008B7F94">
        <w:rPr>
          <w:vertAlign w:val="superscript"/>
          <w:lang w:val="en-US"/>
        </w:rPr>
        <w:t>2+</w:t>
      </w:r>
      <w:r w:rsidRPr="008B7F94">
        <w:rPr>
          <w:lang w:val="en-US"/>
        </w:rPr>
        <w:t>-clamp data</w:t>
      </w:r>
    </w:p>
    <w:p w:rsidR="00D03C79" w:rsidRPr="008B7F94" w:rsidRDefault="00D03C79" w:rsidP="00D03C79">
      <w:pPr>
        <w:autoSpaceDE w:val="0"/>
        <w:autoSpaceDN w:val="0"/>
        <w:adjustRightInd w:val="0"/>
        <w:spacing w:line="240" w:lineRule="auto"/>
        <w:rPr>
          <w:lang w:val="en-US"/>
        </w:rPr>
      </w:pPr>
      <w:r w:rsidRPr="008B7F94">
        <w:rPr>
          <w:lang w:val="en-US"/>
        </w:rPr>
        <w:t>*** There is a big scatter of reported values, both for rods (from 0.1 to 0.21 [</w:t>
      </w:r>
      <w:r w:rsidR="00C05F72" w:rsidRPr="008B7F94">
        <w:rPr>
          <w:lang w:val="en-US"/>
        </w:rPr>
        <w:t>32, 4</w:t>
      </w:r>
      <w:r w:rsidR="00FF0B07" w:rsidRPr="008B7F94">
        <w:rPr>
          <w:lang w:val="en-US"/>
        </w:rPr>
        <w:t>1</w:t>
      </w:r>
      <w:r w:rsidR="00C05F72" w:rsidRPr="008B7F94">
        <w:rPr>
          <w:lang w:val="en-US"/>
        </w:rPr>
        <w:t>, 5</w:t>
      </w:r>
      <w:r w:rsidR="00FF0B07" w:rsidRPr="008B7F94">
        <w:rPr>
          <w:lang w:val="en-US"/>
        </w:rPr>
        <w:t>6</w:t>
      </w:r>
      <w:r w:rsidR="00C05F72" w:rsidRPr="008B7F94">
        <w:rPr>
          <w:b/>
          <w:lang w:val="en-US"/>
        </w:rPr>
        <w:t>-</w:t>
      </w:r>
      <w:r w:rsidR="00C05F72" w:rsidRPr="008B7F94">
        <w:rPr>
          <w:lang w:val="en-US"/>
        </w:rPr>
        <w:t>59</w:t>
      </w:r>
      <w:r w:rsidRPr="008B7F94">
        <w:rPr>
          <w:lang w:val="en-US"/>
        </w:rPr>
        <w:t>]) and cones (from 0.1 to 0.34 [</w:t>
      </w:r>
      <w:r w:rsidR="00C05F72" w:rsidRPr="008B7F94">
        <w:rPr>
          <w:lang w:val="en-US"/>
        </w:rPr>
        <w:t>4, 4</w:t>
      </w:r>
      <w:r w:rsidR="00FF0B07" w:rsidRPr="008B7F94">
        <w:rPr>
          <w:lang w:val="en-US"/>
        </w:rPr>
        <w:t>1</w:t>
      </w:r>
      <w:r w:rsidR="00C05F72" w:rsidRPr="008B7F94">
        <w:rPr>
          <w:lang w:val="en-US"/>
        </w:rPr>
        <w:t xml:space="preserve">, </w:t>
      </w:r>
      <w:r w:rsidR="00FF0B07" w:rsidRPr="008B7F94">
        <w:rPr>
          <w:lang w:val="en-US"/>
        </w:rPr>
        <w:t>59</w:t>
      </w:r>
      <w:r w:rsidR="00C05F72" w:rsidRPr="008B7F94">
        <w:rPr>
          <w:lang w:val="en-US"/>
        </w:rPr>
        <w:t>-6</w:t>
      </w:r>
      <w:r w:rsidR="00FF0B07" w:rsidRPr="008B7F94">
        <w:rPr>
          <w:lang w:val="en-US"/>
        </w:rPr>
        <w:t>2</w:t>
      </w:r>
      <w:r w:rsidRPr="008B7F94">
        <w:rPr>
          <w:lang w:val="en-US"/>
        </w:rPr>
        <w:t xml:space="preserve">]), so we choose </w:t>
      </w:r>
      <w:proofErr w:type="spellStart"/>
      <w:proofErr w:type="gramStart"/>
      <w:r w:rsidRPr="008B7F94">
        <w:rPr>
          <w:i/>
          <w:lang w:val="en-US"/>
        </w:rPr>
        <w:t>f</w:t>
      </w:r>
      <w:r w:rsidRPr="008B7F94">
        <w:rPr>
          <w:i/>
          <w:vertAlign w:val="subscript"/>
          <w:lang w:val="en-US"/>
        </w:rPr>
        <w:t>Ca</w:t>
      </w:r>
      <w:proofErr w:type="spellEnd"/>
      <w:proofErr w:type="gramEnd"/>
      <w:r w:rsidRPr="008B7F94">
        <w:rPr>
          <w:lang w:val="en-US"/>
        </w:rPr>
        <w:t xml:space="preserve"> = 0.2 as an average.</w:t>
      </w:r>
    </w:p>
    <w:p w:rsidR="00D03C79" w:rsidRPr="008B7F94" w:rsidRDefault="00D03C79" w:rsidP="00D03C79">
      <w:pPr>
        <w:autoSpaceDE w:val="0"/>
        <w:autoSpaceDN w:val="0"/>
        <w:adjustRightInd w:val="0"/>
        <w:spacing w:line="240" w:lineRule="auto"/>
        <w:rPr>
          <w:i/>
          <w:lang w:val="en-US"/>
        </w:rPr>
      </w:pPr>
      <w:r w:rsidRPr="008B7F94">
        <w:rPr>
          <w:lang w:val="en-US"/>
        </w:rPr>
        <w:t xml:space="preserve">**** Parameters are chosen to ensure </w:t>
      </w:r>
      <w:proofErr w:type="gramStart"/>
      <w:r w:rsidRPr="008B7F94">
        <w:rPr>
          <w:lang w:val="en-US"/>
        </w:rPr>
        <w:t>tenfold activation</w:t>
      </w:r>
      <w:proofErr w:type="gramEnd"/>
      <w:r w:rsidRPr="008B7F94">
        <w:rPr>
          <w:lang w:val="en-US"/>
        </w:rPr>
        <w:t xml:space="preserve"> from the dark-adapted state. </w:t>
      </w:r>
    </w:p>
    <w:p w:rsidR="00D03C79" w:rsidRPr="008B7F94" w:rsidRDefault="00D03C79" w:rsidP="00D03C79">
      <w:pPr>
        <w:autoSpaceDE w:val="0"/>
        <w:autoSpaceDN w:val="0"/>
        <w:adjustRightInd w:val="0"/>
        <w:spacing w:line="240" w:lineRule="auto"/>
        <w:rPr>
          <w:iCs/>
          <w:szCs w:val="22"/>
          <w:lang w:val="en-US"/>
        </w:rPr>
      </w:pPr>
    </w:p>
    <w:p w:rsidR="00D03C79" w:rsidRPr="008B7F94" w:rsidRDefault="00D03C79" w:rsidP="00D03C79">
      <w:pPr>
        <w:autoSpaceDE w:val="0"/>
        <w:autoSpaceDN w:val="0"/>
        <w:adjustRightInd w:val="0"/>
        <w:spacing w:line="240" w:lineRule="auto"/>
        <w:rPr>
          <w:lang w:val="en-US" w:eastAsia="ru-RU"/>
        </w:rPr>
      </w:pPr>
      <w:r w:rsidRPr="008B7F94">
        <w:rPr>
          <w:iCs/>
          <w:szCs w:val="22"/>
          <w:lang w:val="en-US"/>
        </w:rPr>
        <w:br w:type="page"/>
      </w:r>
      <w:r w:rsidRPr="008B7F94">
        <w:rPr>
          <w:lang w:val="en-US" w:eastAsia="ru-RU"/>
        </w:rPr>
        <w:lastRenderedPageBreak/>
        <w:t>Table A3. Initial guess values further adjustable by model fitting</w:t>
      </w:r>
    </w:p>
    <w:p w:rsidR="00D03C79" w:rsidRPr="008B7F94" w:rsidRDefault="00D03C79" w:rsidP="00D03C79">
      <w:pPr>
        <w:spacing w:line="240" w:lineRule="auto"/>
        <w:rPr>
          <w:b/>
          <w:sz w:val="28"/>
          <w:szCs w:val="28"/>
          <w:lang w:val="en-US" w:eastAsia="ru-RU"/>
        </w:rPr>
      </w:pPr>
    </w:p>
    <w:tbl>
      <w:tblPr>
        <w:tblW w:w="0" w:type="auto"/>
        <w:tblBorders>
          <w:top w:val="single" w:sz="12" w:space="0" w:color="008000"/>
          <w:left w:val="nil"/>
          <w:bottom w:val="single" w:sz="12" w:space="0" w:color="008000"/>
          <w:right w:val="nil"/>
          <w:insideH w:val="nil"/>
          <w:insideV w:val="nil"/>
        </w:tblBorders>
        <w:tblLook w:val="00BF"/>
      </w:tblPr>
      <w:tblGrid>
        <w:gridCol w:w="1715"/>
        <w:gridCol w:w="1050"/>
        <w:gridCol w:w="1336"/>
        <w:gridCol w:w="1649"/>
        <w:gridCol w:w="1276"/>
      </w:tblGrid>
      <w:tr w:rsidR="00D03C79" w:rsidRPr="008B7F94" w:rsidTr="00370D40">
        <w:trPr>
          <w:cantSplit/>
        </w:trPr>
        <w:tc>
          <w:tcPr>
            <w:tcW w:w="0" w:type="auto"/>
            <w:tcBorders>
              <w:top w:val="single" w:sz="4" w:space="0" w:color="auto"/>
              <w:bottom w:val="single" w:sz="4" w:space="0" w:color="auto"/>
              <w:right w:val="nil"/>
            </w:tcBorders>
            <w:tcMar>
              <w:left w:w="115" w:type="dxa"/>
              <w:right w:w="115" w:type="dxa"/>
            </w:tcMar>
            <w:vAlign w:val="center"/>
          </w:tcPr>
          <w:p w:rsidR="00D03C79" w:rsidRPr="008B7F94" w:rsidRDefault="00D03C79" w:rsidP="00370D40">
            <w:pPr>
              <w:pStyle w:val="TBLTTL"/>
              <w:spacing w:line="240" w:lineRule="auto"/>
              <w:ind w:right="53"/>
              <w:jc w:val="both"/>
              <w:rPr>
                <w:rFonts w:cs="Arial"/>
                <w:b w:val="0"/>
                <w:szCs w:val="24"/>
              </w:rPr>
            </w:pPr>
          </w:p>
        </w:tc>
        <w:tc>
          <w:tcPr>
            <w:tcW w:w="0" w:type="auto"/>
            <w:tcBorders>
              <w:top w:val="single" w:sz="4" w:space="0" w:color="auto"/>
              <w:left w:val="nil"/>
              <w:bottom w:val="single" w:sz="4" w:space="0" w:color="auto"/>
              <w:right w:val="nil"/>
            </w:tcBorders>
            <w:vAlign w:val="center"/>
          </w:tcPr>
          <w:p w:rsidR="00D03C79" w:rsidRPr="008B7F94" w:rsidRDefault="00D03C79" w:rsidP="00370D40">
            <w:pPr>
              <w:pStyle w:val="TBLTTL"/>
              <w:spacing w:line="240" w:lineRule="auto"/>
              <w:ind w:left="149" w:hanging="149"/>
              <w:jc w:val="both"/>
              <w:rPr>
                <w:rFonts w:ascii="Times New Roman" w:hAnsi="Times New Roman"/>
                <w:b w:val="0"/>
                <w:szCs w:val="24"/>
              </w:rPr>
            </w:pPr>
            <w:r w:rsidRPr="008B7F94">
              <w:rPr>
                <w:rFonts w:ascii="Times New Roman" w:hAnsi="Times New Roman"/>
                <w:b w:val="0"/>
                <w:szCs w:val="24"/>
              </w:rPr>
              <w:t>Frog rod</w:t>
            </w:r>
          </w:p>
        </w:tc>
        <w:tc>
          <w:tcPr>
            <w:tcW w:w="0" w:type="auto"/>
            <w:tcBorders>
              <w:top w:val="single" w:sz="4" w:space="0" w:color="auto"/>
              <w:left w:val="nil"/>
              <w:bottom w:val="single" w:sz="4" w:space="0" w:color="auto"/>
              <w:right w:val="nil"/>
            </w:tcBorders>
            <w:vAlign w:val="center"/>
          </w:tcPr>
          <w:p w:rsidR="00D03C79" w:rsidRPr="008B7F94" w:rsidRDefault="00D03C79" w:rsidP="00370D40">
            <w:pPr>
              <w:pStyle w:val="TBLTTL"/>
              <w:spacing w:line="240" w:lineRule="auto"/>
              <w:jc w:val="both"/>
              <w:rPr>
                <w:rFonts w:ascii="Times New Roman" w:hAnsi="Times New Roman"/>
                <w:b w:val="0"/>
                <w:szCs w:val="24"/>
              </w:rPr>
            </w:pPr>
            <w:r w:rsidRPr="008B7F94">
              <w:rPr>
                <w:rFonts w:ascii="Times New Roman" w:hAnsi="Times New Roman"/>
                <w:b w:val="0"/>
                <w:szCs w:val="24"/>
              </w:rPr>
              <w:t>Source</w:t>
            </w:r>
          </w:p>
        </w:tc>
        <w:tc>
          <w:tcPr>
            <w:tcW w:w="0" w:type="auto"/>
            <w:tcBorders>
              <w:top w:val="single" w:sz="4" w:space="0" w:color="auto"/>
              <w:left w:val="nil"/>
              <w:bottom w:val="single" w:sz="4" w:space="0" w:color="auto"/>
              <w:right w:val="nil"/>
            </w:tcBorders>
            <w:vAlign w:val="center"/>
          </w:tcPr>
          <w:p w:rsidR="00D03C79" w:rsidRPr="008B7F94" w:rsidRDefault="00D03C79" w:rsidP="00370D40">
            <w:pPr>
              <w:pStyle w:val="TBLTTL"/>
              <w:spacing w:line="240" w:lineRule="auto"/>
              <w:jc w:val="both"/>
              <w:rPr>
                <w:rFonts w:ascii="Times New Roman" w:hAnsi="Times New Roman"/>
                <w:b w:val="0"/>
                <w:szCs w:val="24"/>
              </w:rPr>
            </w:pPr>
            <w:r w:rsidRPr="008B7F94">
              <w:rPr>
                <w:rFonts w:ascii="Times New Roman" w:hAnsi="Times New Roman"/>
                <w:b w:val="0"/>
                <w:szCs w:val="24"/>
              </w:rPr>
              <w:t>Carassius cone</w:t>
            </w:r>
          </w:p>
        </w:tc>
        <w:tc>
          <w:tcPr>
            <w:tcW w:w="0" w:type="auto"/>
            <w:tcBorders>
              <w:top w:val="single" w:sz="4" w:space="0" w:color="auto"/>
              <w:left w:val="nil"/>
              <w:bottom w:val="single" w:sz="4" w:space="0" w:color="auto"/>
              <w:right w:val="nil"/>
            </w:tcBorders>
            <w:vAlign w:val="center"/>
          </w:tcPr>
          <w:p w:rsidR="00D03C79" w:rsidRPr="008B7F94" w:rsidRDefault="00D03C79" w:rsidP="00370D40">
            <w:pPr>
              <w:pStyle w:val="TBLTTL"/>
              <w:spacing w:line="240" w:lineRule="auto"/>
              <w:jc w:val="both"/>
              <w:rPr>
                <w:rFonts w:ascii="Times New Roman" w:hAnsi="Times New Roman"/>
                <w:b w:val="0"/>
                <w:szCs w:val="24"/>
              </w:rPr>
            </w:pPr>
            <w:r w:rsidRPr="008B7F94">
              <w:rPr>
                <w:rFonts w:ascii="Times New Roman" w:hAnsi="Times New Roman"/>
                <w:b w:val="0"/>
                <w:szCs w:val="24"/>
              </w:rPr>
              <w:t>Source</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line="240" w:lineRule="auto"/>
              <w:ind w:right="53"/>
              <w:rPr>
                <w:rFonts w:ascii="Arial" w:hAnsi="Arial" w:cs="Arial"/>
                <w:lang w:val="en-US"/>
              </w:rPr>
            </w:pPr>
            <w:r w:rsidRPr="008B7F94">
              <w:rPr>
                <w:rFonts w:ascii="Symbol" w:hAnsi="Symbol" w:cs="Arial"/>
                <w:i/>
                <w:lang w:val="en-US"/>
              </w:rPr>
              <w:t></w:t>
            </w:r>
            <w:r w:rsidRPr="008B7F94">
              <w:rPr>
                <w:i/>
                <w:vertAlign w:val="subscript"/>
                <w:lang w:val="en-US"/>
              </w:rPr>
              <w:t>RE</w:t>
            </w:r>
            <w:r w:rsidRPr="008B7F94">
              <w:rPr>
                <w:rFonts w:ascii="Arial" w:hAnsi="Arial" w:cs="Arial"/>
                <w:lang w:val="en-US"/>
              </w:rPr>
              <w:t xml:space="preserve">, </w:t>
            </w:r>
            <w:r w:rsidRPr="008B7F94">
              <w:rPr>
                <w:lang w:val="en-US"/>
              </w:rPr>
              <w:t>s</w:t>
            </w:r>
            <w:r w:rsidRPr="008B7F94">
              <w:rPr>
                <w:vertAlign w:val="superscript"/>
                <w:lang w:val="en-US"/>
              </w:rPr>
              <w:t>-1</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200</w:t>
            </w:r>
          </w:p>
        </w:tc>
        <w:tc>
          <w:tcPr>
            <w:tcW w:w="0" w:type="auto"/>
            <w:tcBorders>
              <w:top w:val="nil"/>
              <w:left w:val="nil"/>
              <w:bottom w:val="nil"/>
              <w:right w:val="nil"/>
            </w:tcBorders>
          </w:tcPr>
          <w:p w:rsidR="00D03C79" w:rsidRPr="008B7F94" w:rsidRDefault="00D03C79" w:rsidP="00370D40">
            <w:pPr>
              <w:spacing w:line="240" w:lineRule="auto"/>
              <w:rPr>
                <w:lang w:val="en-US"/>
              </w:rPr>
            </w:pP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200</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line="240" w:lineRule="auto"/>
              <w:ind w:right="53"/>
              <w:rPr>
                <w:lang w:val="en-US"/>
              </w:rPr>
            </w:pPr>
            <w:r w:rsidRPr="008B7F94">
              <w:rPr>
                <w:rFonts w:ascii="Symbol" w:hAnsi="Symbol"/>
                <w:i/>
                <w:lang w:val="en-US"/>
              </w:rPr>
              <w:t></w:t>
            </w:r>
            <w:r w:rsidRPr="008B7F94">
              <w:rPr>
                <w:i/>
                <w:vertAlign w:val="subscript"/>
                <w:lang w:val="en-US"/>
              </w:rPr>
              <w:t>dark</w:t>
            </w:r>
            <w:r w:rsidRPr="008B7F94">
              <w:rPr>
                <w:lang w:val="en-US"/>
              </w:rPr>
              <w:t>/</w:t>
            </w:r>
            <w:proofErr w:type="spellStart"/>
            <w:r w:rsidRPr="008B7F94">
              <w:rPr>
                <w:i/>
                <w:lang w:val="en-US"/>
              </w:rPr>
              <w:t>cG</w:t>
            </w:r>
            <w:r w:rsidRPr="008B7F94">
              <w:rPr>
                <w:i/>
                <w:vertAlign w:val="subscript"/>
                <w:lang w:val="en-US"/>
              </w:rPr>
              <w:t>dark</w:t>
            </w:r>
            <w:proofErr w:type="spellEnd"/>
            <w:r w:rsidRPr="008B7F94">
              <w:rPr>
                <w:lang w:val="en-US"/>
              </w:rPr>
              <w:t>, s</w:t>
            </w:r>
            <w:r w:rsidRPr="008B7F94">
              <w:rPr>
                <w:vertAlign w:val="superscript"/>
                <w:lang w:val="en-US"/>
              </w:rPr>
              <w:t>-1</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2</w:t>
            </w:r>
          </w:p>
        </w:tc>
        <w:tc>
          <w:tcPr>
            <w:tcW w:w="0" w:type="auto"/>
            <w:tcBorders>
              <w:top w:val="nil"/>
              <w:left w:val="nil"/>
              <w:bottom w:val="nil"/>
              <w:right w:val="nil"/>
            </w:tcBorders>
          </w:tcPr>
          <w:p w:rsidR="00D03C79" w:rsidRPr="008B7F94" w:rsidRDefault="00D03C79" w:rsidP="00FF0B07">
            <w:pPr>
              <w:spacing w:line="240" w:lineRule="auto"/>
              <w:rPr>
                <w:lang w:val="en-US"/>
              </w:rPr>
            </w:pPr>
            <w:r w:rsidRPr="008B7F94">
              <w:rPr>
                <w:lang w:val="en-US"/>
              </w:rPr>
              <w:t>[</w:t>
            </w:r>
            <w:r w:rsidR="00FF0B07" w:rsidRPr="008B7F94">
              <w:rPr>
                <w:lang w:val="en-US"/>
              </w:rPr>
              <w:t>39</w:t>
            </w:r>
            <w:r w:rsidR="00E938AF" w:rsidRPr="008B7F94">
              <w:rPr>
                <w:lang w:val="en-US"/>
              </w:rPr>
              <w:t>, 5</w:t>
            </w:r>
            <w:r w:rsidR="00FF0B07" w:rsidRPr="008B7F94">
              <w:rPr>
                <w:lang w:val="en-US"/>
              </w:rPr>
              <w:t>6</w:t>
            </w:r>
            <w:r w:rsidR="00E938AF" w:rsidRPr="008B7F94">
              <w:rPr>
                <w:lang w:val="en-US"/>
              </w:rPr>
              <w:t>, 6</w:t>
            </w:r>
            <w:r w:rsidR="00FF0B07" w:rsidRPr="008B7F94">
              <w:rPr>
                <w:lang w:val="en-US"/>
              </w:rPr>
              <w:t>3</w:t>
            </w: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10</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line="240" w:lineRule="auto"/>
              <w:ind w:right="53"/>
              <w:rPr>
                <w:lang w:val="en-US"/>
              </w:rPr>
            </w:pPr>
            <w:proofErr w:type="spellStart"/>
            <w:r w:rsidRPr="008B7F94">
              <w:rPr>
                <w:i/>
                <w:lang w:val="en-US"/>
              </w:rPr>
              <w:t>k</w:t>
            </w:r>
            <w:r w:rsidRPr="008B7F94">
              <w:rPr>
                <w:i/>
                <w:vertAlign w:val="subscript"/>
                <w:lang w:val="en-US"/>
              </w:rPr>
              <w:t>Rmax</w:t>
            </w:r>
            <w:proofErr w:type="spellEnd"/>
            <w:r w:rsidRPr="008B7F94">
              <w:rPr>
                <w:lang w:val="en-US"/>
              </w:rPr>
              <w:t>, s</w:t>
            </w:r>
            <w:r w:rsidRPr="008B7F94">
              <w:rPr>
                <w:vertAlign w:val="superscript"/>
                <w:lang w:val="en-US"/>
              </w:rPr>
              <w:t>-1</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15</w:t>
            </w:r>
          </w:p>
        </w:tc>
        <w:tc>
          <w:tcPr>
            <w:tcW w:w="0" w:type="auto"/>
            <w:tcBorders>
              <w:top w:val="nil"/>
              <w:left w:val="nil"/>
              <w:bottom w:val="nil"/>
              <w:right w:val="nil"/>
            </w:tcBorders>
          </w:tcPr>
          <w:p w:rsidR="00D03C79" w:rsidRPr="008B7F94" w:rsidRDefault="00D03C79" w:rsidP="00FF0B07">
            <w:pPr>
              <w:spacing w:line="240" w:lineRule="auto"/>
              <w:rPr>
                <w:lang w:val="en-US"/>
              </w:rPr>
            </w:pPr>
            <w:r w:rsidRPr="008B7F94">
              <w:rPr>
                <w:lang w:val="en-US"/>
              </w:rPr>
              <w:t>[</w:t>
            </w:r>
            <w:r w:rsidR="00FF0B07" w:rsidRPr="008B7F94">
              <w:rPr>
                <w:lang w:val="en-US"/>
              </w:rPr>
              <w:t>39</w:t>
            </w: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120</w:t>
            </w:r>
          </w:p>
        </w:tc>
        <w:tc>
          <w:tcPr>
            <w:tcW w:w="0" w:type="auto"/>
            <w:tcBorders>
              <w:top w:val="nil"/>
              <w:left w:val="nil"/>
              <w:bottom w:val="nil"/>
              <w:right w:val="nil"/>
            </w:tcBorders>
            <w:vAlign w:val="center"/>
          </w:tcPr>
          <w:p w:rsidR="00D03C79" w:rsidRPr="008B7F94" w:rsidRDefault="00D03C79" w:rsidP="00370D40">
            <w:pPr>
              <w:spacing w:line="240" w:lineRule="auto"/>
              <w:rPr>
                <w:i/>
                <w:lang w:val="en-US"/>
              </w:rPr>
            </w:pPr>
            <w:r w:rsidRPr="008B7F94">
              <w:rPr>
                <w:i/>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line="240" w:lineRule="auto"/>
              <w:ind w:right="53"/>
              <w:rPr>
                <w:lang w:val="en-US"/>
              </w:rPr>
            </w:pPr>
            <w:proofErr w:type="spellStart"/>
            <w:r w:rsidRPr="008B7F94">
              <w:rPr>
                <w:i/>
                <w:iCs/>
                <w:lang w:val="en-US"/>
              </w:rPr>
              <w:t>k</w:t>
            </w:r>
            <w:r w:rsidRPr="008B7F94">
              <w:rPr>
                <w:i/>
                <w:iCs/>
                <w:vertAlign w:val="subscript"/>
                <w:lang w:val="en-US"/>
              </w:rPr>
              <w:t>E</w:t>
            </w:r>
            <w:proofErr w:type="spellEnd"/>
            <w:r w:rsidRPr="008B7F94">
              <w:rPr>
                <w:i/>
                <w:iCs/>
                <w:vertAlign w:val="subscript"/>
                <w:lang w:val="en-US"/>
              </w:rPr>
              <w:t xml:space="preserve">, </w:t>
            </w:r>
            <w:r w:rsidRPr="008B7F94">
              <w:rPr>
                <w:iCs/>
                <w:lang w:val="en-US"/>
              </w:rPr>
              <w:t>s</w:t>
            </w:r>
            <w:r w:rsidRPr="008B7F94">
              <w:rPr>
                <w:iCs/>
                <w:vertAlign w:val="superscript"/>
                <w:lang w:val="en-US"/>
              </w:rPr>
              <w:t>-1</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0.5</w:t>
            </w:r>
          </w:p>
        </w:tc>
        <w:tc>
          <w:tcPr>
            <w:tcW w:w="0" w:type="auto"/>
            <w:tcBorders>
              <w:top w:val="nil"/>
              <w:left w:val="nil"/>
              <w:bottom w:val="nil"/>
              <w:right w:val="nil"/>
            </w:tcBorders>
          </w:tcPr>
          <w:p w:rsidR="00D03C79" w:rsidRPr="008B7F94" w:rsidRDefault="00EC7DE1" w:rsidP="00FF0B07">
            <w:pPr>
              <w:spacing w:line="240" w:lineRule="auto"/>
              <w:rPr>
                <w:lang w:val="en-US"/>
              </w:rPr>
            </w:pPr>
            <w:r w:rsidRPr="008B7F94">
              <w:rPr>
                <w:lang w:val="en-US"/>
              </w:rPr>
              <w:t>[</w:t>
            </w:r>
            <w:r w:rsidR="00FF0B07" w:rsidRPr="008B7F94">
              <w:rPr>
                <w:lang w:val="en-US"/>
              </w:rPr>
              <w:t>39</w:t>
            </w:r>
            <w:r w:rsidR="00D03C79" w:rsidRPr="008B7F94">
              <w:rPr>
                <w:lang w:val="en-US"/>
              </w:rPr>
              <w:t>]</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12</w:t>
            </w:r>
          </w:p>
        </w:tc>
        <w:tc>
          <w:tcPr>
            <w:tcW w:w="0" w:type="auto"/>
            <w:tcBorders>
              <w:top w:val="nil"/>
              <w:left w:val="nil"/>
              <w:bottom w:val="nil"/>
              <w:right w:val="nil"/>
            </w:tcBorders>
            <w:vAlign w:val="center"/>
          </w:tcPr>
          <w:p w:rsidR="00D03C79" w:rsidRPr="008B7F94" w:rsidRDefault="00D03C79" w:rsidP="00370D40">
            <w:pPr>
              <w:spacing w:line="240" w:lineRule="auto"/>
              <w:rPr>
                <w:i/>
                <w:lang w:val="en-US"/>
              </w:rPr>
            </w:pPr>
            <w:r w:rsidRPr="008B7F94">
              <w:rPr>
                <w:i/>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line="240" w:lineRule="auto"/>
              <w:ind w:right="53"/>
              <w:rPr>
                <w:lang w:val="en-US"/>
              </w:rPr>
            </w:pPr>
            <w:r w:rsidRPr="008B7F94">
              <w:rPr>
                <w:rFonts w:ascii="Symbol" w:hAnsi="Symbol"/>
                <w:i/>
                <w:iCs/>
                <w:lang w:val="en-US"/>
              </w:rPr>
              <w:t></w:t>
            </w:r>
            <w:r w:rsidRPr="008B7F94">
              <w:rPr>
                <w:i/>
                <w:iCs/>
                <w:vertAlign w:val="subscript"/>
                <w:lang w:val="en-US"/>
              </w:rPr>
              <w:t>e</w:t>
            </w:r>
            <w:r w:rsidRPr="008B7F94">
              <w:rPr>
                <w:lang w:val="en-US"/>
              </w:rPr>
              <w:t>, ms</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15</w:t>
            </w:r>
          </w:p>
        </w:tc>
        <w:tc>
          <w:tcPr>
            <w:tcW w:w="0" w:type="auto"/>
            <w:tcBorders>
              <w:top w:val="nil"/>
              <w:left w:val="nil"/>
              <w:bottom w:val="nil"/>
              <w:right w:val="nil"/>
            </w:tcBorders>
          </w:tcPr>
          <w:p w:rsidR="00D03C79" w:rsidRPr="008B7F94" w:rsidRDefault="00D03C79" w:rsidP="00FF0B07">
            <w:pPr>
              <w:spacing w:line="240" w:lineRule="auto"/>
              <w:rPr>
                <w:lang w:val="en-US"/>
              </w:rPr>
            </w:pPr>
            <w:r w:rsidRPr="008B7F94">
              <w:rPr>
                <w:lang w:val="en-US"/>
              </w:rPr>
              <w:t>[</w:t>
            </w:r>
            <w:r w:rsidR="00E938AF" w:rsidRPr="008B7F94">
              <w:rPr>
                <w:lang w:val="en-US"/>
              </w:rPr>
              <w:t>1, 4</w:t>
            </w:r>
            <w:r w:rsidR="00FF0B07" w:rsidRPr="008B7F94">
              <w:rPr>
                <w:lang w:val="en-US"/>
              </w:rPr>
              <w:t>0</w:t>
            </w:r>
            <w:r w:rsidR="00E938AF" w:rsidRPr="008B7F94">
              <w:rPr>
                <w:lang w:val="en-US"/>
              </w:rPr>
              <w:t>, 5</w:t>
            </w:r>
            <w:r w:rsidR="00FF0B07" w:rsidRPr="008B7F94">
              <w:rPr>
                <w:lang w:val="en-US"/>
              </w:rPr>
              <w:t>7</w:t>
            </w: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27</w:t>
            </w:r>
          </w:p>
        </w:tc>
        <w:tc>
          <w:tcPr>
            <w:tcW w:w="0" w:type="auto"/>
            <w:tcBorders>
              <w:top w:val="nil"/>
              <w:left w:val="nil"/>
              <w:bottom w:val="nil"/>
              <w:right w:val="nil"/>
            </w:tcBorders>
            <w:vAlign w:val="center"/>
          </w:tcPr>
          <w:p w:rsidR="00D03C79" w:rsidRPr="008B7F94" w:rsidRDefault="00D03C79" w:rsidP="00CC0688">
            <w:pPr>
              <w:spacing w:line="240" w:lineRule="auto"/>
              <w:rPr>
                <w:lang w:val="en-US"/>
              </w:rPr>
            </w:pPr>
            <w:r w:rsidRPr="008B7F94">
              <w:rPr>
                <w:lang w:val="en-US"/>
              </w:rPr>
              <w:t>[</w:t>
            </w:r>
            <w:r w:rsidR="00E938AF" w:rsidRPr="008B7F94">
              <w:rPr>
                <w:lang w:val="en-US"/>
              </w:rPr>
              <w:t>5, 4</w:t>
            </w:r>
            <w:r w:rsidR="00CC0688" w:rsidRPr="008B7F94">
              <w:rPr>
                <w:lang w:val="en-US"/>
              </w:rPr>
              <w:t>0</w:t>
            </w:r>
            <w:r w:rsidR="00E938AF" w:rsidRPr="008B7F94">
              <w:rPr>
                <w:lang w:val="en-US"/>
              </w:rPr>
              <w:t xml:space="preserve"> </w:t>
            </w:r>
            <w:r w:rsidRPr="008B7F94">
              <w:rPr>
                <w:lang w:val="en-US"/>
              </w:rPr>
              <w:t>], **</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line="240" w:lineRule="auto"/>
              <w:ind w:right="53"/>
              <w:rPr>
                <w:lang w:val="en-US"/>
              </w:rPr>
            </w:pPr>
            <w:proofErr w:type="spellStart"/>
            <w:r w:rsidRPr="008B7F94">
              <w:rPr>
                <w:i/>
                <w:lang w:val="en-US"/>
              </w:rPr>
              <w:t>t</w:t>
            </w:r>
            <w:r w:rsidRPr="008B7F94">
              <w:rPr>
                <w:i/>
                <w:vertAlign w:val="subscript"/>
                <w:lang w:val="en-US"/>
              </w:rPr>
              <w:t>eff</w:t>
            </w:r>
            <w:proofErr w:type="spellEnd"/>
            <w:r w:rsidRPr="008B7F94">
              <w:rPr>
                <w:lang w:val="en-US"/>
              </w:rPr>
              <w:t>, ms</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10</w:t>
            </w:r>
          </w:p>
        </w:tc>
        <w:tc>
          <w:tcPr>
            <w:tcW w:w="0" w:type="auto"/>
            <w:tcBorders>
              <w:top w:val="nil"/>
              <w:left w:val="nil"/>
              <w:bottom w:val="nil"/>
              <w:right w:val="nil"/>
            </w:tcBorders>
          </w:tcPr>
          <w:p w:rsidR="00D03C79" w:rsidRPr="008B7F94" w:rsidRDefault="00D03C79" w:rsidP="00CC0688">
            <w:pPr>
              <w:spacing w:line="240" w:lineRule="auto"/>
              <w:rPr>
                <w:lang w:val="en-US"/>
              </w:rPr>
            </w:pPr>
            <w:r w:rsidRPr="008B7F94">
              <w:rPr>
                <w:lang w:val="en-US"/>
              </w:rPr>
              <w:t>[</w:t>
            </w:r>
            <w:r w:rsidR="00E938AF" w:rsidRPr="008B7F94">
              <w:rPr>
                <w:lang w:val="en-US"/>
              </w:rPr>
              <w:t>1</w:t>
            </w:r>
            <w:r w:rsidRPr="008B7F94">
              <w:rPr>
                <w:lang w:val="en-US"/>
              </w:rPr>
              <w:t>], *</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0</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line="240" w:lineRule="auto"/>
              <w:ind w:right="53"/>
              <w:rPr>
                <w:lang w:val="en-US"/>
              </w:rPr>
            </w:pPr>
            <w:proofErr w:type="spellStart"/>
            <w:r w:rsidRPr="008B7F94">
              <w:rPr>
                <w:i/>
                <w:lang w:val="en-US"/>
              </w:rPr>
              <w:t>k</w:t>
            </w:r>
            <w:r w:rsidRPr="008B7F94">
              <w:rPr>
                <w:i/>
                <w:vertAlign w:val="subscript"/>
                <w:lang w:val="en-US"/>
              </w:rPr>
              <w:t>Arr</w:t>
            </w:r>
            <w:proofErr w:type="spellEnd"/>
            <w:r w:rsidRPr="008B7F94">
              <w:rPr>
                <w:lang w:val="en-US"/>
              </w:rPr>
              <w:t>, s</w:t>
            </w:r>
            <w:r w:rsidRPr="008B7F94">
              <w:rPr>
                <w:vertAlign w:val="superscript"/>
                <w:lang w:val="en-US"/>
              </w:rPr>
              <w:t>-1</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0.5</w:t>
            </w:r>
          </w:p>
        </w:tc>
        <w:tc>
          <w:tcPr>
            <w:tcW w:w="0" w:type="auto"/>
            <w:tcBorders>
              <w:top w:val="nil"/>
              <w:left w:val="nil"/>
              <w:bottom w:val="nil"/>
              <w:right w:val="nil"/>
            </w:tcBorders>
          </w:tcPr>
          <w:p w:rsidR="00D03C79" w:rsidRPr="008B7F94" w:rsidRDefault="00D03C79" w:rsidP="00CC0688">
            <w:pPr>
              <w:spacing w:line="240" w:lineRule="auto"/>
              <w:rPr>
                <w:lang w:val="en-US"/>
              </w:rPr>
            </w:pPr>
            <w:r w:rsidRPr="008B7F94">
              <w:rPr>
                <w:lang w:val="en-US"/>
              </w:rPr>
              <w:t>[</w:t>
            </w:r>
            <w:r w:rsidR="00CC0688" w:rsidRPr="008B7F94">
              <w:rPr>
                <w:lang w:val="en-US"/>
              </w:rPr>
              <w:t>37</w:t>
            </w: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3</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line="240" w:lineRule="auto"/>
              <w:ind w:right="53"/>
              <w:rPr>
                <w:i/>
                <w:lang w:val="en-US"/>
              </w:rPr>
            </w:pPr>
            <w:proofErr w:type="spellStart"/>
            <w:r w:rsidRPr="008B7F94">
              <w:rPr>
                <w:i/>
                <w:lang w:val="en-US"/>
              </w:rPr>
              <w:t>a</w:t>
            </w:r>
            <w:r w:rsidRPr="008B7F94">
              <w:rPr>
                <w:i/>
                <w:vertAlign w:val="subscript"/>
                <w:lang w:val="en-US"/>
              </w:rPr>
              <w:t>P</w:t>
            </w:r>
            <w:proofErr w:type="spellEnd"/>
          </w:p>
        </w:tc>
        <w:tc>
          <w:tcPr>
            <w:tcW w:w="0" w:type="auto"/>
            <w:tcBorders>
              <w:top w:val="nil"/>
              <w:left w:val="nil"/>
              <w:bottom w:val="nil"/>
              <w:right w:val="nil"/>
            </w:tcBorders>
            <w:vAlign w:val="center"/>
          </w:tcPr>
          <w:p w:rsidR="00D03C79" w:rsidRPr="008B7F94" w:rsidRDefault="00D03C79" w:rsidP="00370D40">
            <w:pPr>
              <w:spacing w:line="240" w:lineRule="auto"/>
            </w:pPr>
            <w:r w:rsidRPr="008B7F94">
              <w:t>0.05</w:t>
            </w:r>
          </w:p>
        </w:tc>
        <w:tc>
          <w:tcPr>
            <w:tcW w:w="0" w:type="auto"/>
            <w:tcBorders>
              <w:top w:val="nil"/>
              <w:left w:val="nil"/>
              <w:bottom w:val="nil"/>
              <w:right w:val="nil"/>
            </w:tcBorders>
          </w:tcPr>
          <w:p w:rsidR="00D03C79" w:rsidRPr="008B7F94" w:rsidRDefault="00D03C79" w:rsidP="00CC0688">
            <w:pPr>
              <w:spacing w:line="240" w:lineRule="auto"/>
              <w:rPr>
                <w:lang w:val="en-US"/>
              </w:rPr>
            </w:pPr>
            <w:r w:rsidRPr="008B7F94">
              <w:rPr>
                <w:lang w:val="en-US"/>
              </w:rPr>
              <w:t>[</w:t>
            </w:r>
            <w:r w:rsidR="00CC0688" w:rsidRPr="008B7F94">
              <w:rPr>
                <w:lang w:val="en-US"/>
              </w:rPr>
              <w:t>37</w:t>
            </w: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0.05</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line="240" w:lineRule="auto"/>
              <w:ind w:right="53"/>
              <w:rPr>
                <w:i/>
                <w:lang w:val="en-US"/>
              </w:rPr>
            </w:pPr>
            <w:r w:rsidRPr="008B7F94">
              <w:rPr>
                <w:i/>
                <w:lang w:val="en-US"/>
              </w:rPr>
              <w:t>FB</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20</w:t>
            </w:r>
          </w:p>
        </w:tc>
        <w:tc>
          <w:tcPr>
            <w:tcW w:w="0" w:type="auto"/>
            <w:tcBorders>
              <w:top w:val="nil"/>
              <w:left w:val="nil"/>
              <w:bottom w:val="nil"/>
              <w:right w:val="nil"/>
            </w:tcBorders>
          </w:tcPr>
          <w:p w:rsidR="00D03C79" w:rsidRPr="008B7F94" w:rsidRDefault="00D03C79" w:rsidP="00CC0688">
            <w:pPr>
              <w:spacing w:line="240" w:lineRule="auto"/>
              <w:rPr>
                <w:lang w:val="en-US"/>
              </w:rPr>
            </w:pPr>
            <w:r w:rsidRPr="008B7F94">
              <w:rPr>
                <w:lang w:val="en-US"/>
              </w:rPr>
              <w:t>[</w:t>
            </w:r>
            <w:r w:rsidR="00E938AF" w:rsidRPr="008B7F94">
              <w:rPr>
                <w:lang w:val="en-US"/>
              </w:rPr>
              <w:t>6</w:t>
            </w: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20</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line="240" w:lineRule="auto"/>
              <w:ind w:right="53"/>
              <w:rPr>
                <w:rFonts w:ascii="Arial" w:hAnsi="Arial" w:cs="Arial"/>
                <w:lang w:val="en-US"/>
              </w:rPr>
            </w:pPr>
            <w:proofErr w:type="spellStart"/>
            <w:r w:rsidRPr="008B7F94">
              <w:rPr>
                <w:i/>
                <w:lang w:val="en-US"/>
              </w:rPr>
              <w:t>B</w:t>
            </w:r>
            <w:r w:rsidRPr="008B7F94">
              <w:rPr>
                <w:i/>
                <w:vertAlign w:val="subscript"/>
                <w:lang w:val="en-US"/>
              </w:rPr>
              <w:t>totslow</w:t>
            </w:r>
            <w:proofErr w:type="spellEnd"/>
            <w:r w:rsidRPr="008B7F94">
              <w:rPr>
                <w:rFonts w:ascii="Arial" w:hAnsi="Arial" w:cs="Arial"/>
                <w:lang w:val="en-US"/>
              </w:rPr>
              <w:t xml:space="preserve">, </w:t>
            </w:r>
            <w:r w:rsidRPr="008B7F94">
              <w:rPr>
                <w:rFonts w:ascii="Symbol" w:hAnsi="Symbol" w:cs="Arial"/>
                <w:lang w:val="en-US"/>
              </w:rPr>
              <w:t></w:t>
            </w:r>
            <w:r w:rsidRPr="008B7F94">
              <w:rPr>
                <w:lang w:val="en-US"/>
              </w:rPr>
              <w:t>M</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300</w:t>
            </w:r>
          </w:p>
        </w:tc>
        <w:tc>
          <w:tcPr>
            <w:tcW w:w="0" w:type="auto"/>
            <w:tcBorders>
              <w:top w:val="nil"/>
              <w:left w:val="nil"/>
              <w:bottom w:val="nil"/>
              <w:right w:val="nil"/>
            </w:tcBorders>
          </w:tcPr>
          <w:p w:rsidR="00D03C79" w:rsidRPr="008B7F94" w:rsidRDefault="00D03C79" w:rsidP="00CC0688">
            <w:pPr>
              <w:spacing w:line="240" w:lineRule="auto"/>
              <w:rPr>
                <w:lang w:val="en-US"/>
              </w:rPr>
            </w:pPr>
            <w:r w:rsidRPr="008B7F94">
              <w:rPr>
                <w:lang w:val="en-US"/>
              </w:rPr>
              <w:t>[</w:t>
            </w:r>
            <w:r w:rsidR="00E938AF" w:rsidRPr="008B7F94">
              <w:rPr>
                <w:lang w:val="en-US"/>
              </w:rPr>
              <w:t>6, 29</w:t>
            </w: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200</w:t>
            </w:r>
          </w:p>
        </w:tc>
        <w:tc>
          <w:tcPr>
            <w:tcW w:w="0" w:type="auto"/>
            <w:tcBorders>
              <w:top w:val="nil"/>
              <w:left w:val="nil"/>
              <w:bottom w:val="nil"/>
              <w:right w:val="nil"/>
            </w:tcBorders>
            <w:vAlign w:val="center"/>
          </w:tcPr>
          <w:p w:rsidR="00D03C79" w:rsidRPr="008B7F94" w:rsidRDefault="00D03C79" w:rsidP="00CC0688">
            <w:pPr>
              <w:spacing w:line="240" w:lineRule="auto"/>
              <w:rPr>
                <w:lang w:val="en-US"/>
              </w:rPr>
            </w:pPr>
            <w:r w:rsidRPr="008B7F94">
              <w:rPr>
                <w:lang w:val="en-US"/>
              </w:rPr>
              <w:t>[</w:t>
            </w:r>
            <w:r w:rsidR="00E938AF" w:rsidRPr="008B7F94">
              <w:rPr>
                <w:lang w:val="en-US"/>
              </w:rPr>
              <w:t>6, 29</w:t>
            </w: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line="240" w:lineRule="auto"/>
              <w:ind w:right="53"/>
              <w:rPr>
                <w:rFonts w:ascii="Arial" w:hAnsi="Arial" w:cs="Arial"/>
                <w:i/>
                <w:lang w:val="en-US"/>
              </w:rPr>
            </w:pPr>
            <w:r w:rsidRPr="008B7F94">
              <w:rPr>
                <w:i/>
                <w:lang w:val="en-US"/>
              </w:rPr>
              <w:t>k</w:t>
            </w:r>
            <w:r w:rsidRPr="008B7F94">
              <w:rPr>
                <w:i/>
                <w:vertAlign w:val="subscript"/>
                <w:lang w:val="en-US"/>
              </w:rPr>
              <w:t>+1</w:t>
            </w:r>
            <w:r w:rsidRPr="008B7F94">
              <w:rPr>
                <w:rFonts w:ascii="Arial" w:hAnsi="Arial" w:cs="Arial"/>
                <w:lang w:val="en-US"/>
              </w:rPr>
              <w:t xml:space="preserve">, </w:t>
            </w:r>
            <w:r w:rsidRPr="008B7F94">
              <w:rPr>
                <w:rFonts w:ascii="Symbol" w:hAnsi="Symbol" w:cs="Arial"/>
                <w:lang w:val="en-US"/>
              </w:rPr>
              <w:t></w:t>
            </w:r>
            <w:r w:rsidRPr="008B7F94">
              <w:rPr>
                <w:lang w:val="en-US"/>
              </w:rPr>
              <w:t>M</w:t>
            </w:r>
            <w:r w:rsidRPr="008B7F94">
              <w:rPr>
                <w:rFonts w:ascii="Arial" w:hAnsi="Arial" w:cs="Arial"/>
                <w:vertAlign w:val="superscript"/>
                <w:lang w:val="en-US"/>
              </w:rPr>
              <w:t>-1</w:t>
            </w:r>
            <w:r w:rsidRPr="008B7F94">
              <w:rPr>
                <w:rFonts w:ascii="Arial" w:hAnsi="Arial" w:cs="Arial"/>
                <w:lang w:val="en-US"/>
              </w:rPr>
              <w:t xml:space="preserve"> </w:t>
            </w:r>
            <w:r w:rsidRPr="008B7F94">
              <w:rPr>
                <w:lang w:val="en-US"/>
              </w:rPr>
              <w:t>s</w:t>
            </w:r>
            <w:r w:rsidRPr="008B7F94">
              <w:rPr>
                <w:vertAlign w:val="superscript"/>
                <w:lang w:val="en-US"/>
              </w:rPr>
              <w:t>-1</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1</w:t>
            </w:r>
          </w:p>
        </w:tc>
        <w:tc>
          <w:tcPr>
            <w:tcW w:w="0" w:type="auto"/>
            <w:tcBorders>
              <w:top w:val="nil"/>
              <w:left w:val="nil"/>
              <w:bottom w:val="nil"/>
              <w:right w:val="nil"/>
            </w:tcBorders>
          </w:tcPr>
          <w:p w:rsidR="00D03C79" w:rsidRPr="008B7F94" w:rsidRDefault="00D03C79" w:rsidP="00370D40">
            <w:pPr>
              <w:spacing w:line="240" w:lineRule="auto"/>
              <w:rPr>
                <w:lang w:val="en-US"/>
              </w:rPr>
            </w:pP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1</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w:t>
            </w:r>
          </w:p>
        </w:tc>
      </w:tr>
      <w:tr w:rsidR="00D03C79" w:rsidRPr="008B7F94" w:rsidTr="00370D40">
        <w:trPr>
          <w:cantSplit/>
        </w:trPr>
        <w:tc>
          <w:tcPr>
            <w:tcW w:w="0" w:type="auto"/>
            <w:tcBorders>
              <w:top w:val="nil"/>
              <w:bottom w:val="nil"/>
              <w:right w:val="nil"/>
            </w:tcBorders>
            <w:tcMar>
              <w:left w:w="115" w:type="dxa"/>
              <w:right w:w="115" w:type="dxa"/>
            </w:tcMar>
            <w:vAlign w:val="center"/>
          </w:tcPr>
          <w:p w:rsidR="00D03C79" w:rsidRPr="008B7F94" w:rsidRDefault="00D03C79" w:rsidP="00370D40">
            <w:pPr>
              <w:spacing w:line="240" w:lineRule="auto"/>
              <w:ind w:right="53"/>
              <w:rPr>
                <w:lang w:val="en-US"/>
              </w:rPr>
            </w:pPr>
            <w:r w:rsidRPr="008B7F94">
              <w:rPr>
                <w:i/>
                <w:lang w:val="en-US"/>
              </w:rPr>
              <w:t>k</w:t>
            </w:r>
            <w:r w:rsidRPr="008B7F94">
              <w:rPr>
                <w:i/>
                <w:vertAlign w:val="subscript"/>
                <w:lang w:val="en-US"/>
              </w:rPr>
              <w:t>-1</w:t>
            </w:r>
            <w:r w:rsidRPr="008B7F94">
              <w:rPr>
                <w:lang w:val="en-US"/>
              </w:rPr>
              <w:t>, s</w:t>
            </w:r>
            <w:r w:rsidRPr="008B7F94">
              <w:rPr>
                <w:vertAlign w:val="superscript"/>
                <w:lang w:val="en-US"/>
              </w:rPr>
              <w:t>-1</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0.05</w:t>
            </w:r>
          </w:p>
        </w:tc>
        <w:tc>
          <w:tcPr>
            <w:tcW w:w="0" w:type="auto"/>
            <w:tcBorders>
              <w:top w:val="nil"/>
              <w:left w:val="nil"/>
              <w:bottom w:val="nil"/>
              <w:right w:val="nil"/>
            </w:tcBorders>
          </w:tcPr>
          <w:p w:rsidR="00D03C79" w:rsidRPr="008B7F94" w:rsidRDefault="00D03C79" w:rsidP="00370D40">
            <w:pPr>
              <w:spacing w:line="240" w:lineRule="auto"/>
              <w:rPr>
                <w:lang w:val="en-US"/>
              </w:rPr>
            </w:pPr>
            <w:r w:rsidRPr="008B7F94">
              <w:rPr>
                <w:lang w:val="en-US"/>
              </w:rPr>
              <w:t>*</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0.5</w:t>
            </w:r>
          </w:p>
        </w:tc>
        <w:tc>
          <w:tcPr>
            <w:tcW w:w="0" w:type="auto"/>
            <w:tcBorders>
              <w:top w:val="nil"/>
              <w:left w:val="nil"/>
              <w:bottom w:val="nil"/>
              <w:right w:val="nil"/>
            </w:tcBorders>
            <w:vAlign w:val="center"/>
          </w:tcPr>
          <w:p w:rsidR="00D03C79" w:rsidRPr="008B7F94" w:rsidRDefault="00D03C79" w:rsidP="00370D40">
            <w:pPr>
              <w:spacing w:line="240" w:lineRule="auto"/>
              <w:rPr>
                <w:lang w:val="en-US"/>
              </w:rPr>
            </w:pPr>
            <w:r w:rsidRPr="008B7F94">
              <w:rPr>
                <w:lang w:val="en-US"/>
              </w:rPr>
              <w:t>*</w:t>
            </w:r>
          </w:p>
        </w:tc>
      </w:tr>
    </w:tbl>
    <w:p w:rsidR="00D03C79" w:rsidRPr="008B7F94" w:rsidRDefault="00D03C79" w:rsidP="00D03C79">
      <w:pPr>
        <w:spacing w:line="240" w:lineRule="auto"/>
        <w:rPr>
          <w:lang w:val="en-US" w:eastAsia="ru-RU"/>
        </w:rPr>
      </w:pPr>
    </w:p>
    <w:p w:rsidR="00D03C79" w:rsidRPr="008B7F94" w:rsidRDefault="00D03C79" w:rsidP="00D03C79">
      <w:pPr>
        <w:spacing w:line="240" w:lineRule="auto"/>
        <w:rPr>
          <w:lang w:val="en-US"/>
        </w:rPr>
      </w:pPr>
      <w:r w:rsidRPr="008B7F94">
        <w:rPr>
          <w:rFonts w:ascii="Symbol" w:hAnsi="Symbol" w:cs="Arial"/>
          <w:lang w:val="en-US"/>
        </w:rPr>
        <w:t></w:t>
      </w:r>
      <w:r w:rsidRPr="008B7F94">
        <w:rPr>
          <w:rFonts w:ascii="Symbol" w:hAnsi="Symbol" w:cs="Arial"/>
          <w:b/>
          <w:lang w:val="en-US"/>
        </w:rPr>
        <w:t></w:t>
      </w:r>
      <w:r w:rsidRPr="008B7F94">
        <w:rPr>
          <w:lang w:val="en-US"/>
        </w:rPr>
        <w:t>freely adjustable during fitting</w:t>
      </w:r>
    </w:p>
    <w:p w:rsidR="00D03C79" w:rsidRPr="008B7F94" w:rsidRDefault="00D03C79" w:rsidP="00D03C79">
      <w:pPr>
        <w:autoSpaceDE w:val="0"/>
        <w:autoSpaceDN w:val="0"/>
        <w:adjustRightInd w:val="0"/>
        <w:spacing w:line="240" w:lineRule="auto"/>
        <w:rPr>
          <w:lang w:val="en-US"/>
        </w:rPr>
      </w:pPr>
      <w:r w:rsidRPr="008B7F94">
        <w:rPr>
          <w:lang w:val="en-US"/>
        </w:rPr>
        <w:t>** Constrained by Ca</w:t>
      </w:r>
      <w:r w:rsidRPr="008B7F94">
        <w:rPr>
          <w:vertAlign w:val="superscript"/>
          <w:lang w:val="en-US"/>
        </w:rPr>
        <w:t>2+</w:t>
      </w:r>
      <w:r w:rsidRPr="008B7F94">
        <w:rPr>
          <w:lang w:val="en-US"/>
        </w:rPr>
        <w:t>-clamp data</w:t>
      </w:r>
    </w:p>
    <w:p w:rsidR="00D03C79" w:rsidRDefault="00D03C79" w:rsidP="00D03C79">
      <w:pPr>
        <w:autoSpaceDE w:val="0"/>
        <w:autoSpaceDN w:val="0"/>
        <w:adjustRightInd w:val="0"/>
        <w:spacing w:line="240" w:lineRule="auto"/>
        <w:rPr>
          <w:lang w:val="en-US"/>
        </w:rPr>
      </w:pPr>
      <w:r w:rsidRPr="008B7F94">
        <w:rPr>
          <w:lang w:val="en-US"/>
        </w:rPr>
        <w:t xml:space="preserve">*** chosen to keep </w:t>
      </w:r>
      <w:proofErr w:type="spellStart"/>
      <w:r w:rsidRPr="008B7F94">
        <w:rPr>
          <w:i/>
          <w:iCs/>
          <w:lang w:val="en-US"/>
        </w:rPr>
        <w:t>k</w:t>
      </w:r>
      <w:r w:rsidRPr="008B7F94">
        <w:rPr>
          <w:i/>
          <w:iCs/>
          <w:vertAlign w:val="subscript"/>
          <w:lang w:val="en-US"/>
        </w:rPr>
        <w:t>R</w:t>
      </w:r>
      <w:r w:rsidRPr="008B7F94">
        <w:rPr>
          <w:i/>
          <w:vertAlign w:val="subscript"/>
          <w:lang w:val="en-US"/>
        </w:rPr>
        <w:t>dark</w:t>
      </w:r>
      <w:proofErr w:type="spellEnd"/>
      <w:r w:rsidRPr="008B7F94">
        <w:rPr>
          <w:i/>
          <w:lang w:val="en-US"/>
        </w:rPr>
        <w:t xml:space="preserve"> </w:t>
      </w:r>
      <w:r w:rsidRPr="008B7F94">
        <w:rPr>
          <w:lang w:val="en-US"/>
        </w:rPr>
        <w:t>value close to Ca</w:t>
      </w:r>
      <w:r w:rsidRPr="008B7F94">
        <w:rPr>
          <w:vertAlign w:val="superscript"/>
          <w:lang w:val="en-US"/>
        </w:rPr>
        <w:t>2+</w:t>
      </w:r>
      <w:r w:rsidRPr="008B7F94">
        <w:rPr>
          <w:lang w:val="en-US"/>
        </w:rPr>
        <w:t>-clamp constraints</w:t>
      </w:r>
    </w:p>
    <w:p w:rsidR="00D03C79" w:rsidRPr="00D30A28" w:rsidRDefault="00D03C79" w:rsidP="00D03C79">
      <w:pPr>
        <w:spacing w:line="240" w:lineRule="auto"/>
        <w:rPr>
          <w:lang w:val="en-US" w:eastAsia="ru-RU"/>
        </w:rPr>
      </w:pPr>
    </w:p>
    <w:p w:rsidR="00D03C79" w:rsidRPr="00D30A28" w:rsidRDefault="00D03C79" w:rsidP="00D03C79">
      <w:pPr>
        <w:spacing w:line="240" w:lineRule="auto"/>
        <w:rPr>
          <w:lang w:val="en-US" w:eastAsia="ru-RU"/>
        </w:rPr>
      </w:pPr>
    </w:p>
    <w:p w:rsidR="00D03C79" w:rsidRDefault="00D03C79" w:rsidP="00D03C79">
      <w:pPr>
        <w:autoSpaceDE w:val="0"/>
        <w:autoSpaceDN w:val="0"/>
        <w:adjustRightInd w:val="0"/>
        <w:spacing w:line="360" w:lineRule="auto"/>
        <w:rPr>
          <w:lang w:val="en-US"/>
        </w:rPr>
      </w:pPr>
    </w:p>
    <w:p w:rsidR="00D03C79" w:rsidRDefault="00D03C79" w:rsidP="00D03C79">
      <w:pPr>
        <w:autoSpaceDE w:val="0"/>
        <w:autoSpaceDN w:val="0"/>
        <w:adjustRightInd w:val="0"/>
        <w:spacing w:line="360" w:lineRule="auto"/>
        <w:rPr>
          <w:lang w:val="en-US"/>
        </w:rPr>
      </w:pPr>
    </w:p>
    <w:p w:rsidR="003B3485" w:rsidRPr="00D03C79" w:rsidRDefault="003B3485">
      <w:pPr>
        <w:rPr>
          <w:lang w:val="en-US"/>
        </w:rPr>
      </w:pPr>
    </w:p>
    <w:sectPr w:rsidR="003B3485" w:rsidRPr="00D03C79" w:rsidSect="003B3485">
      <w:headerReference w:type="default" r:id="rId9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AB6" w:rsidRDefault="00F62AB6" w:rsidP="004223D2">
      <w:pPr>
        <w:spacing w:line="240" w:lineRule="auto"/>
      </w:pPr>
      <w:r>
        <w:separator/>
      </w:r>
    </w:p>
  </w:endnote>
  <w:endnote w:type="continuationSeparator" w:id="0">
    <w:p w:rsidR="00F62AB6" w:rsidRDefault="00F62AB6" w:rsidP="004223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AB6" w:rsidRDefault="00F62AB6" w:rsidP="004223D2">
      <w:pPr>
        <w:spacing w:line="240" w:lineRule="auto"/>
      </w:pPr>
      <w:r>
        <w:separator/>
      </w:r>
    </w:p>
  </w:footnote>
  <w:footnote w:type="continuationSeparator" w:id="0">
    <w:p w:rsidR="00F62AB6" w:rsidRDefault="00F62AB6" w:rsidP="004223D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0F3" w:rsidRDefault="004E30F3">
    <w:pPr>
      <w:pStyle w:val="a4"/>
      <w:jc w:val="right"/>
    </w:pPr>
    <w:fldSimple w:instr=" PAGE   \* MERGEFORMAT ">
      <w:r w:rsidR="0075029F">
        <w:rPr>
          <w:noProof/>
        </w:rPr>
        <w:t>23</w:t>
      </w:r>
    </w:fldSimple>
  </w:p>
  <w:p w:rsidR="004E30F3" w:rsidRDefault="004E30F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2527B"/>
    <w:multiLevelType w:val="hybridMultilevel"/>
    <w:tmpl w:val="7D7C93F4"/>
    <w:lvl w:ilvl="0" w:tplc="D68EC7B8">
      <w:start w:val="1"/>
      <w:numFmt w:val="decimal"/>
      <w:lvlText w:val="%1."/>
      <w:lvlJc w:val="left"/>
      <w:pPr>
        <w:ind w:left="1416" w:hanging="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5EC12F6"/>
    <w:multiLevelType w:val="hybridMultilevel"/>
    <w:tmpl w:val="2D8E05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FD112B8"/>
    <w:multiLevelType w:val="hybridMultilevel"/>
    <w:tmpl w:val="A1E8E3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0AA3EBE"/>
    <w:multiLevelType w:val="hybridMultilevel"/>
    <w:tmpl w:val="668ED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31"/>
  <w:proofState w:spelling="clean" w:grammar="clean"/>
  <w:defaultTabStop w:val="708"/>
  <w:characterSpacingControl w:val="doNotCompress"/>
  <w:footnotePr>
    <w:footnote w:id="-1"/>
    <w:footnote w:id="0"/>
  </w:footnotePr>
  <w:endnotePr>
    <w:endnote w:id="-1"/>
    <w:endnote w:id="0"/>
  </w:endnotePr>
  <w:compat/>
  <w:rsids>
    <w:rsidRoot w:val="00D03C79"/>
    <w:rsid w:val="0001081A"/>
    <w:rsid w:val="000602E6"/>
    <w:rsid w:val="00077F33"/>
    <w:rsid w:val="0009250C"/>
    <w:rsid w:val="000D69B5"/>
    <w:rsid w:val="00104634"/>
    <w:rsid w:val="001107C1"/>
    <w:rsid w:val="00171B76"/>
    <w:rsid w:val="001B084C"/>
    <w:rsid w:val="001C267F"/>
    <w:rsid w:val="0025213B"/>
    <w:rsid w:val="0026784A"/>
    <w:rsid w:val="002D4E20"/>
    <w:rsid w:val="00303C00"/>
    <w:rsid w:val="003461AF"/>
    <w:rsid w:val="00370D40"/>
    <w:rsid w:val="00383CED"/>
    <w:rsid w:val="003A715B"/>
    <w:rsid w:val="003B3485"/>
    <w:rsid w:val="003B5884"/>
    <w:rsid w:val="004223D2"/>
    <w:rsid w:val="004413D0"/>
    <w:rsid w:val="00452FA0"/>
    <w:rsid w:val="004B52D7"/>
    <w:rsid w:val="004C550F"/>
    <w:rsid w:val="004E30F3"/>
    <w:rsid w:val="00547C60"/>
    <w:rsid w:val="00561CED"/>
    <w:rsid w:val="00593A5A"/>
    <w:rsid w:val="005B36E3"/>
    <w:rsid w:val="005D6479"/>
    <w:rsid w:val="00600C42"/>
    <w:rsid w:val="00635007"/>
    <w:rsid w:val="006962AA"/>
    <w:rsid w:val="006B18AE"/>
    <w:rsid w:val="006D14B6"/>
    <w:rsid w:val="007235A0"/>
    <w:rsid w:val="0075029F"/>
    <w:rsid w:val="0078033F"/>
    <w:rsid w:val="00782B42"/>
    <w:rsid w:val="007877F2"/>
    <w:rsid w:val="007E3B5E"/>
    <w:rsid w:val="007E575E"/>
    <w:rsid w:val="008A54E3"/>
    <w:rsid w:val="008B7F94"/>
    <w:rsid w:val="008C34E3"/>
    <w:rsid w:val="008D42F0"/>
    <w:rsid w:val="008F0AC8"/>
    <w:rsid w:val="00904170"/>
    <w:rsid w:val="0091321B"/>
    <w:rsid w:val="009209A3"/>
    <w:rsid w:val="00993641"/>
    <w:rsid w:val="00A367C5"/>
    <w:rsid w:val="00A47648"/>
    <w:rsid w:val="00AC4AFA"/>
    <w:rsid w:val="00B17119"/>
    <w:rsid w:val="00B5019C"/>
    <w:rsid w:val="00B73931"/>
    <w:rsid w:val="00B85196"/>
    <w:rsid w:val="00BB2BE5"/>
    <w:rsid w:val="00BE35C2"/>
    <w:rsid w:val="00C05A84"/>
    <w:rsid w:val="00C05F72"/>
    <w:rsid w:val="00C3665B"/>
    <w:rsid w:val="00C4081E"/>
    <w:rsid w:val="00C51A25"/>
    <w:rsid w:val="00C82D69"/>
    <w:rsid w:val="00C90CD9"/>
    <w:rsid w:val="00CC0688"/>
    <w:rsid w:val="00CF3DD9"/>
    <w:rsid w:val="00D03C79"/>
    <w:rsid w:val="00D265CD"/>
    <w:rsid w:val="00D73812"/>
    <w:rsid w:val="00DB4FCC"/>
    <w:rsid w:val="00E33DF7"/>
    <w:rsid w:val="00E86878"/>
    <w:rsid w:val="00E938AF"/>
    <w:rsid w:val="00EB4B48"/>
    <w:rsid w:val="00EC7DE1"/>
    <w:rsid w:val="00EE151E"/>
    <w:rsid w:val="00F4386A"/>
    <w:rsid w:val="00F613DB"/>
    <w:rsid w:val="00F62AB6"/>
    <w:rsid w:val="00F87A0E"/>
    <w:rsid w:val="00FB19DF"/>
    <w:rsid w:val="00FC6424"/>
    <w:rsid w:val="00FD3060"/>
    <w:rsid w:val="00FF0B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79"/>
    <w:rPr>
      <w:rFonts w:eastAsia="Calibri"/>
    </w:rPr>
  </w:style>
  <w:style w:type="paragraph" w:styleId="1">
    <w:name w:val="heading 1"/>
    <w:basedOn w:val="a"/>
    <w:next w:val="a"/>
    <w:link w:val="10"/>
    <w:qFormat/>
    <w:rsid w:val="00D03C79"/>
    <w:pPr>
      <w:keepNext/>
      <w:keepLines/>
      <w:spacing w:before="480"/>
      <w:outlineLvl w:val="0"/>
    </w:pPr>
    <w:rPr>
      <w:rFonts w:ascii="Cambria" w:eastAsia="Times New Roman" w:hAnsi="Cambria"/>
      <w:b/>
      <w:bCs/>
      <w:color w:val="365F91"/>
      <w:sz w:val="28"/>
      <w:szCs w:val="28"/>
    </w:rPr>
  </w:style>
  <w:style w:type="paragraph" w:styleId="3">
    <w:name w:val="heading 3"/>
    <w:basedOn w:val="a"/>
    <w:link w:val="30"/>
    <w:uiPriority w:val="9"/>
    <w:qFormat/>
    <w:rsid w:val="00D03C79"/>
    <w:pPr>
      <w:spacing w:before="100" w:beforeAutospacing="1" w:after="100" w:afterAutospacing="1" w:line="240" w:lineRule="auto"/>
      <w:jc w:val="left"/>
      <w:outlineLvl w:val="2"/>
    </w:pPr>
    <w:rPr>
      <w:rFonts w:eastAsia="Times New Roman"/>
      <w:b/>
      <w:bCs/>
      <w:sz w:val="27"/>
      <w:szCs w:val="27"/>
    </w:rPr>
  </w:style>
  <w:style w:type="paragraph" w:styleId="4">
    <w:name w:val="heading 4"/>
    <w:basedOn w:val="a"/>
    <w:next w:val="a"/>
    <w:link w:val="40"/>
    <w:qFormat/>
    <w:rsid w:val="00D03C79"/>
    <w:pPr>
      <w:keepNext/>
      <w:spacing w:line="240" w:lineRule="auto"/>
      <w:jc w:val="left"/>
      <w:outlineLvl w:val="3"/>
    </w:pPr>
    <w:rPr>
      <w:rFonts w:eastAsia="Times New Roman"/>
      <w:i/>
      <w:iC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3C79"/>
    <w:rPr>
      <w:rFonts w:ascii="Cambria" w:eastAsia="Times New Roman" w:hAnsi="Cambria"/>
      <w:b/>
      <w:bCs/>
      <w:color w:val="365F91"/>
      <w:sz w:val="28"/>
      <w:szCs w:val="28"/>
    </w:rPr>
  </w:style>
  <w:style w:type="character" w:customStyle="1" w:styleId="30">
    <w:name w:val="Заголовок 3 Знак"/>
    <w:basedOn w:val="a0"/>
    <w:link w:val="3"/>
    <w:uiPriority w:val="9"/>
    <w:rsid w:val="00D03C79"/>
    <w:rPr>
      <w:rFonts w:eastAsia="Times New Roman"/>
      <w:b/>
      <w:bCs/>
      <w:sz w:val="27"/>
      <w:szCs w:val="27"/>
    </w:rPr>
  </w:style>
  <w:style w:type="character" w:customStyle="1" w:styleId="40">
    <w:name w:val="Заголовок 4 Знак"/>
    <w:basedOn w:val="a0"/>
    <w:link w:val="4"/>
    <w:rsid w:val="00D03C79"/>
    <w:rPr>
      <w:rFonts w:eastAsia="Times New Roman"/>
      <w:i/>
      <w:iCs/>
      <w:lang w:val="en-US"/>
    </w:rPr>
  </w:style>
  <w:style w:type="character" w:styleId="a3">
    <w:name w:val="Hyperlink"/>
    <w:uiPriority w:val="99"/>
    <w:unhideWhenUsed/>
    <w:rsid w:val="00D03C79"/>
    <w:rPr>
      <w:color w:val="0000FF"/>
      <w:u w:val="single"/>
    </w:rPr>
  </w:style>
  <w:style w:type="paragraph" w:styleId="a4">
    <w:name w:val="header"/>
    <w:basedOn w:val="a"/>
    <w:link w:val="a5"/>
    <w:uiPriority w:val="99"/>
    <w:unhideWhenUsed/>
    <w:rsid w:val="00D03C79"/>
    <w:pPr>
      <w:tabs>
        <w:tab w:val="center" w:pos="4677"/>
        <w:tab w:val="right" w:pos="9355"/>
      </w:tabs>
    </w:pPr>
  </w:style>
  <w:style w:type="character" w:customStyle="1" w:styleId="a5">
    <w:name w:val="Верхний колонтитул Знак"/>
    <w:basedOn w:val="a0"/>
    <w:link w:val="a4"/>
    <w:uiPriority w:val="99"/>
    <w:rsid w:val="00D03C79"/>
    <w:rPr>
      <w:rFonts w:eastAsia="Calibri"/>
    </w:rPr>
  </w:style>
  <w:style w:type="paragraph" w:styleId="a6">
    <w:name w:val="footer"/>
    <w:basedOn w:val="a"/>
    <w:link w:val="a7"/>
    <w:uiPriority w:val="99"/>
    <w:unhideWhenUsed/>
    <w:rsid w:val="00D03C79"/>
    <w:pPr>
      <w:tabs>
        <w:tab w:val="center" w:pos="4677"/>
        <w:tab w:val="right" w:pos="9355"/>
      </w:tabs>
    </w:pPr>
  </w:style>
  <w:style w:type="character" w:customStyle="1" w:styleId="a7">
    <w:name w:val="Нижний колонтитул Знак"/>
    <w:basedOn w:val="a0"/>
    <w:link w:val="a6"/>
    <w:uiPriority w:val="99"/>
    <w:rsid w:val="00D03C79"/>
    <w:rPr>
      <w:rFonts w:eastAsia="Calibri"/>
    </w:rPr>
  </w:style>
  <w:style w:type="paragraph" w:styleId="2">
    <w:name w:val="Body Text Indent 2"/>
    <w:basedOn w:val="a"/>
    <w:link w:val="20"/>
    <w:uiPriority w:val="99"/>
    <w:semiHidden/>
    <w:rsid w:val="00D03C79"/>
    <w:pPr>
      <w:spacing w:line="360" w:lineRule="auto"/>
      <w:ind w:firstLine="540"/>
      <w:jc w:val="left"/>
    </w:pPr>
    <w:rPr>
      <w:rFonts w:eastAsia="Times New Roman"/>
      <w:szCs w:val="20"/>
      <w:lang w:val="en-US"/>
    </w:rPr>
  </w:style>
  <w:style w:type="character" w:customStyle="1" w:styleId="20">
    <w:name w:val="Основной текст с отступом 2 Знак"/>
    <w:basedOn w:val="a0"/>
    <w:link w:val="2"/>
    <w:uiPriority w:val="99"/>
    <w:semiHidden/>
    <w:rsid w:val="00D03C79"/>
    <w:rPr>
      <w:rFonts w:eastAsia="Times New Roman"/>
      <w:szCs w:val="20"/>
      <w:lang w:val="en-US"/>
    </w:rPr>
  </w:style>
  <w:style w:type="table" w:styleId="a8">
    <w:name w:val="Table Grid"/>
    <w:basedOn w:val="a1"/>
    <w:uiPriority w:val="59"/>
    <w:rsid w:val="00D03C79"/>
    <w:pPr>
      <w:spacing w:line="240" w:lineRule="auto"/>
      <w:jc w:val="left"/>
    </w:pPr>
    <w:rPr>
      <w:rFonts w:eastAsia="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D03C79"/>
    <w:pPr>
      <w:spacing w:before="100" w:beforeAutospacing="1" w:after="100" w:afterAutospacing="1" w:line="240" w:lineRule="auto"/>
      <w:jc w:val="left"/>
    </w:pPr>
    <w:rPr>
      <w:rFonts w:eastAsia="Times New Roman"/>
      <w:lang w:eastAsia="ru-RU"/>
    </w:rPr>
  </w:style>
  <w:style w:type="character" w:styleId="aa">
    <w:name w:val="FollowedHyperlink"/>
    <w:uiPriority w:val="99"/>
    <w:semiHidden/>
    <w:unhideWhenUsed/>
    <w:rsid w:val="00D03C79"/>
    <w:rPr>
      <w:color w:val="800080"/>
      <w:u w:val="single"/>
    </w:rPr>
  </w:style>
  <w:style w:type="paragraph" w:styleId="ab">
    <w:name w:val="Body Text Indent"/>
    <w:basedOn w:val="a"/>
    <w:link w:val="ac"/>
    <w:uiPriority w:val="99"/>
    <w:semiHidden/>
    <w:unhideWhenUsed/>
    <w:rsid w:val="00D03C79"/>
    <w:pPr>
      <w:spacing w:after="120"/>
      <w:ind w:left="283"/>
    </w:pPr>
  </w:style>
  <w:style w:type="character" w:customStyle="1" w:styleId="ac">
    <w:name w:val="Основной текст с отступом Знак"/>
    <w:basedOn w:val="a0"/>
    <w:link w:val="ab"/>
    <w:uiPriority w:val="99"/>
    <w:semiHidden/>
    <w:rsid w:val="00D03C79"/>
    <w:rPr>
      <w:rFonts w:eastAsia="Calibri"/>
    </w:rPr>
  </w:style>
  <w:style w:type="paragraph" w:styleId="ad">
    <w:name w:val="Body Text"/>
    <w:basedOn w:val="a"/>
    <w:link w:val="ae"/>
    <w:semiHidden/>
    <w:unhideWhenUsed/>
    <w:rsid w:val="00D03C79"/>
    <w:pPr>
      <w:spacing w:after="120"/>
    </w:pPr>
  </w:style>
  <w:style w:type="character" w:customStyle="1" w:styleId="ae">
    <w:name w:val="Основной текст Знак"/>
    <w:basedOn w:val="a0"/>
    <w:link w:val="ad"/>
    <w:semiHidden/>
    <w:rsid w:val="00D03C79"/>
    <w:rPr>
      <w:rFonts w:eastAsia="Calibri"/>
    </w:rPr>
  </w:style>
  <w:style w:type="character" w:styleId="af">
    <w:name w:val="annotation reference"/>
    <w:uiPriority w:val="99"/>
    <w:semiHidden/>
    <w:unhideWhenUsed/>
    <w:rsid w:val="00D03C79"/>
    <w:rPr>
      <w:sz w:val="16"/>
      <w:szCs w:val="16"/>
    </w:rPr>
  </w:style>
  <w:style w:type="paragraph" w:styleId="af0">
    <w:name w:val="annotation text"/>
    <w:basedOn w:val="a"/>
    <w:link w:val="af1"/>
    <w:uiPriority w:val="99"/>
    <w:semiHidden/>
    <w:unhideWhenUsed/>
    <w:rsid w:val="00D03C79"/>
    <w:rPr>
      <w:sz w:val="20"/>
      <w:szCs w:val="20"/>
    </w:rPr>
  </w:style>
  <w:style w:type="character" w:customStyle="1" w:styleId="af1">
    <w:name w:val="Текст примечания Знак"/>
    <w:basedOn w:val="a0"/>
    <w:link w:val="af0"/>
    <w:uiPriority w:val="99"/>
    <w:semiHidden/>
    <w:rsid w:val="00D03C79"/>
    <w:rPr>
      <w:rFonts w:eastAsia="Calibri"/>
      <w:sz w:val="20"/>
      <w:szCs w:val="20"/>
    </w:rPr>
  </w:style>
  <w:style w:type="paragraph" w:styleId="af2">
    <w:name w:val="annotation subject"/>
    <w:basedOn w:val="af0"/>
    <w:next w:val="af0"/>
    <w:link w:val="af3"/>
    <w:uiPriority w:val="99"/>
    <w:semiHidden/>
    <w:unhideWhenUsed/>
    <w:rsid w:val="00D03C79"/>
    <w:rPr>
      <w:b/>
      <w:bCs/>
    </w:rPr>
  </w:style>
  <w:style w:type="character" w:customStyle="1" w:styleId="af3">
    <w:name w:val="Тема примечания Знак"/>
    <w:basedOn w:val="af1"/>
    <w:link w:val="af2"/>
    <w:uiPriority w:val="99"/>
    <w:semiHidden/>
    <w:rsid w:val="00D03C79"/>
    <w:rPr>
      <w:rFonts w:eastAsia="Calibri"/>
      <w:b/>
      <w:bCs/>
      <w:sz w:val="20"/>
      <w:szCs w:val="20"/>
    </w:rPr>
  </w:style>
  <w:style w:type="paragraph" w:styleId="af4">
    <w:name w:val="Balloon Text"/>
    <w:basedOn w:val="a"/>
    <w:link w:val="af5"/>
    <w:uiPriority w:val="99"/>
    <w:semiHidden/>
    <w:unhideWhenUsed/>
    <w:rsid w:val="00D03C79"/>
    <w:pPr>
      <w:spacing w:line="240" w:lineRule="auto"/>
    </w:pPr>
    <w:rPr>
      <w:rFonts w:ascii="Tahoma" w:hAnsi="Tahoma"/>
      <w:sz w:val="16"/>
      <w:szCs w:val="16"/>
    </w:rPr>
  </w:style>
  <w:style w:type="character" w:customStyle="1" w:styleId="af5">
    <w:name w:val="Текст выноски Знак"/>
    <w:basedOn w:val="a0"/>
    <w:link w:val="af4"/>
    <w:uiPriority w:val="99"/>
    <w:semiHidden/>
    <w:rsid w:val="00D03C79"/>
    <w:rPr>
      <w:rFonts w:ascii="Tahoma" w:eastAsia="Calibri" w:hAnsi="Tahoma"/>
      <w:sz w:val="16"/>
      <w:szCs w:val="16"/>
    </w:rPr>
  </w:style>
  <w:style w:type="character" w:customStyle="1" w:styleId="highlight">
    <w:name w:val="highlight"/>
    <w:basedOn w:val="a0"/>
    <w:rsid w:val="00D03C79"/>
  </w:style>
  <w:style w:type="paragraph" w:customStyle="1" w:styleId="af6">
    <w:name w:val="Îáû÷íûé"/>
    <w:rsid w:val="00D03C79"/>
    <w:pPr>
      <w:widowControl w:val="0"/>
      <w:overflowPunct w:val="0"/>
      <w:autoSpaceDE w:val="0"/>
      <w:autoSpaceDN w:val="0"/>
      <w:adjustRightInd w:val="0"/>
      <w:spacing w:line="240" w:lineRule="auto"/>
      <w:jc w:val="left"/>
      <w:textAlignment w:val="baseline"/>
    </w:pPr>
    <w:rPr>
      <w:rFonts w:ascii="Garamond" w:eastAsia="Times New Roman" w:hAnsi="Garamond"/>
      <w:sz w:val="22"/>
      <w:szCs w:val="20"/>
      <w:lang w:eastAsia="ru-RU"/>
    </w:rPr>
  </w:style>
  <w:style w:type="paragraph" w:customStyle="1" w:styleId="TBLTTL">
    <w:name w:val="TBLTTL"/>
    <w:basedOn w:val="TBLROW"/>
    <w:rsid w:val="00D03C79"/>
    <w:rPr>
      <w:b/>
      <w:sz w:val="24"/>
    </w:rPr>
  </w:style>
  <w:style w:type="paragraph" w:customStyle="1" w:styleId="TBLROW">
    <w:name w:val="TBLROW"/>
    <w:basedOn w:val="a"/>
    <w:rsid w:val="00D03C79"/>
    <w:pPr>
      <w:spacing w:after="240" w:line="360" w:lineRule="atLeast"/>
      <w:jc w:val="left"/>
    </w:pPr>
    <w:rPr>
      <w:rFonts w:ascii="Arial" w:eastAsia="Times New Roman" w:hAnsi="Arial"/>
      <w:sz w:val="20"/>
      <w:szCs w:val="20"/>
      <w:lang w:val="en-GB"/>
    </w:rPr>
  </w:style>
  <w:style w:type="paragraph" w:styleId="af7">
    <w:name w:val="Revision"/>
    <w:hidden/>
    <w:uiPriority w:val="99"/>
    <w:semiHidden/>
    <w:rsid w:val="00D03C79"/>
    <w:pPr>
      <w:spacing w:line="240" w:lineRule="auto"/>
      <w:jc w:val="left"/>
    </w:pPr>
    <w:rPr>
      <w:rFonts w:eastAsia="Calibri"/>
    </w:rPr>
  </w:style>
  <w:style w:type="paragraph" w:styleId="af8">
    <w:name w:val="Document Map"/>
    <w:basedOn w:val="a"/>
    <w:link w:val="af9"/>
    <w:uiPriority w:val="99"/>
    <w:semiHidden/>
    <w:unhideWhenUsed/>
    <w:rsid w:val="00D03C79"/>
    <w:rPr>
      <w:rFonts w:ascii="Tahoma" w:hAnsi="Tahoma" w:cs="Tahoma"/>
      <w:sz w:val="16"/>
      <w:szCs w:val="16"/>
    </w:rPr>
  </w:style>
  <w:style w:type="character" w:customStyle="1" w:styleId="af9">
    <w:name w:val="Схема документа Знак"/>
    <w:basedOn w:val="a0"/>
    <w:link w:val="af8"/>
    <w:uiPriority w:val="99"/>
    <w:semiHidden/>
    <w:rsid w:val="00D03C79"/>
    <w:rPr>
      <w:rFonts w:ascii="Tahoma" w:eastAsia="Calibri" w:hAnsi="Tahoma" w:cs="Tahoma"/>
      <w:sz w:val="16"/>
      <w:szCs w:val="16"/>
    </w:rPr>
  </w:style>
  <w:style w:type="paragraph" w:styleId="afa">
    <w:name w:val="List Paragraph"/>
    <w:basedOn w:val="a"/>
    <w:uiPriority w:val="34"/>
    <w:qFormat/>
    <w:rsid w:val="00D03C79"/>
    <w:pPr>
      <w:spacing w:after="200" w:line="276" w:lineRule="auto"/>
      <w:ind w:left="720"/>
      <w:contextualSpacing/>
      <w:jc w:val="left"/>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image" Target="media/image26.tiff"/><Relationship Id="rId63" Type="http://schemas.openxmlformats.org/officeDocument/2006/relationships/image" Target="media/image31.wmf"/><Relationship Id="rId68" Type="http://schemas.openxmlformats.org/officeDocument/2006/relationships/oleObject" Target="embeddings/oleObject29.bin"/><Relationship Id="rId76" Type="http://schemas.openxmlformats.org/officeDocument/2006/relationships/oleObject" Target="embeddings/oleObject33.bin"/><Relationship Id="rId84" Type="http://schemas.openxmlformats.org/officeDocument/2006/relationships/oleObject" Target="embeddings/oleObject36.bin"/><Relationship Id="rId89" Type="http://schemas.openxmlformats.org/officeDocument/2006/relationships/hyperlink" Target="http://www.ncbi.nlm.nih.gov/pubmed?term=Hammond%20CJ%5BAuthor%5D&amp;cauthor=true&amp;cauthor_uid=22350929" TargetMode="External"/><Relationship Id="rId7" Type="http://schemas.openxmlformats.org/officeDocument/2006/relationships/image" Target="media/image1.wmf"/><Relationship Id="rId71" Type="http://schemas.openxmlformats.org/officeDocument/2006/relationships/image" Target="media/image35.wmf"/><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tiff"/><Relationship Id="rId53" Type="http://schemas.openxmlformats.org/officeDocument/2006/relationships/oleObject" Target="embeddings/oleObject23.bin"/><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oleObject" Target="embeddings/oleObject34.bin"/><Relationship Id="rId87" Type="http://schemas.openxmlformats.org/officeDocument/2006/relationships/hyperlink" Target="http://www.ncbi.nlm.nih.gov/pubmed?term=Bussmann%20BM%5BAuthor%5D&amp;cauthor=true&amp;cauthor_uid=22350929" TargetMode="External"/><Relationship Id="rId5" Type="http://schemas.openxmlformats.org/officeDocument/2006/relationships/footnotes" Target="footnotes.xml"/><Relationship Id="rId61" Type="http://schemas.openxmlformats.org/officeDocument/2006/relationships/image" Target="media/image30.wmf"/><Relationship Id="rId82" Type="http://schemas.openxmlformats.org/officeDocument/2006/relationships/oleObject" Target="embeddings/oleObject35.bin"/><Relationship Id="rId90" Type="http://schemas.openxmlformats.org/officeDocument/2006/relationships/hyperlink" Target="http://www.ncbi.nlm.nih.gov/pubmed?term=Lamb%20TD%5BAuthor%5D&amp;cauthor=true&amp;cauthor_uid=22350929" TargetMode="External"/><Relationship Id="rId95" Type="http://schemas.microsoft.com/office/2007/relationships/stylesWithEffects" Target="stylesWithEffects.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2.wmf"/><Relationship Id="rId56" Type="http://schemas.openxmlformats.org/officeDocument/2006/relationships/image" Target="media/image27.tiff"/><Relationship Id="rId64" Type="http://schemas.openxmlformats.org/officeDocument/2006/relationships/oleObject" Target="embeddings/oleObject27.bin"/><Relationship Id="rId69" Type="http://schemas.openxmlformats.org/officeDocument/2006/relationships/image" Target="media/image34.wmf"/><Relationship Id="rId77" Type="http://schemas.openxmlformats.org/officeDocument/2006/relationships/image" Target="media/image38.tif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1.bin"/><Relationship Id="rId80" Type="http://schemas.openxmlformats.org/officeDocument/2006/relationships/image" Target="media/image40.tiff"/><Relationship Id="rId85" Type="http://schemas.openxmlformats.org/officeDocument/2006/relationships/hyperlink" Target="http://www.ncbi.nlm.nih.gov/pubmed?term=Mahroo%20OA%5BAuthor%5D&amp;cauthor=true&amp;cauthor_uid=22350929"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1.wmf"/><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5.tiff"/><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7.wmf"/><Relationship Id="rId83" Type="http://schemas.openxmlformats.org/officeDocument/2006/relationships/image" Target="media/image42.wmf"/><Relationship Id="rId88" Type="http://schemas.openxmlformats.org/officeDocument/2006/relationships/hyperlink" Target="http://www.ncbi.nlm.nih.gov/pubmed?term=Copley%20HC%5BAuthor%5D&amp;cauthor=true&amp;cauthor_uid=22350929" TargetMode="External"/><Relationship Id="rId91" Type="http://schemas.openxmlformats.org/officeDocument/2006/relationships/hyperlink" Target="http://www.ncbi.nlm.nih.gov/pubmed/2235092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8.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image" Target="media/image39.wmf"/><Relationship Id="rId81" Type="http://schemas.openxmlformats.org/officeDocument/2006/relationships/image" Target="media/image41.wmf"/><Relationship Id="rId86" Type="http://schemas.openxmlformats.org/officeDocument/2006/relationships/hyperlink" Target="http://www.ncbi.nlm.nih.gov/pubmed?term=Ban%20VS%5BAuthor%5D&amp;cauthor=true&amp;cauthor_uid=22350929"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24</Pages>
  <Words>6543</Words>
  <Characters>37301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3</cp:revision>
  <dcterms:created xsi:type="dcterms:W3CDTF">2015-03-06T17:51:00Z</dcterms:created>
  <dcterms:modified xsi:type="dcterms:W3CDTF">2015-03-06T18:15:00Z</dcterms:modified>
</cp:coreProperties>
</file>